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AAF5" w14:textId="5E2F6E47" w:rsidR="00433DB8" w:rsidRDefault="00E51680" w:rsidP="007108C8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 w:rsidRPr="005337C2">
        <w:rPr>
          <w:rFonts w:ascii="Calibri" w:hAnsi="Calibri" w:cs="Calibri"/>
          <w:sz w:val="40"/>
          <w:szCs w:val="40"/>
          <w:lang w:val="es-DO"/>
        </w:rPr>
        <w:t>La ABA</w:t>
      </w:r>
      <w:r w:rsidR="00B1769B">
        <w:rPr>
          <w:rFonts w:ascii="Calibri" w:hAnsi="Calibri" w:cs="Calibri"/>
          <w:sz w:val="40"/>
          <w:szCs w:val="40"/>
          <w:lang w:val="es-DO"/>
        </w:rPr>
        <w:t xml:space="preserve"> resalta </w:t>
      </w:r>
      <w:r w:rsidRPr="005337C2">
        <w:rPr>
          <w:rFonts w:ascii="Calibri" w:hAnsi="Calibri" w:cs="Calibri"/>
          <w:sz w:val="40"/>
          <w:szCs w:val="40"/>
          <w:lang w:val="es-DO"/>
        </w:rPr>
        <w:t xml:space="preserve">dinamismo y </w:t>
      </w:r>
      <w:r w:rsidR="00956E70" w:rsidRPr="005337C2">
        <w:rPr>
          <w:rFonts w:ascii="Calibri" w:hAnsi="Calibri" w:cs="Calibri"/>
          <w:sz w:val="40"/>
          <w:szCs w:val="40"/>
          <w:lang w:val="es-DO"/>
        </w:rPr>
        <w:t>saludables</w:t>
      </w:r>
      <w:r w:rsidR="002E4A8A" w:rsidRPr="005337C2">
        <w:rPr>
          <w:rFonts w:ascii="Calibri" w:hAnsi="Calibri" w:cs="Calibri"/>
          <w:sz w:val="40"/>
          <w:szCs w:val="40"/>
          <w:lang w:val="es-DO"/>
        </w:rPr>
        <w:t xml:space="preserve"> </w:t>
      </w:r>
      <w:r w:rsidR="00956E70" w:rsidRPr="005337C2">
        <w:rPr>
          <w:rFonts w:ascii="Calibri" w:hAnsi="Calibri" w:cs="Calibri"/>
          <w:sz w:val="40"/>
          <w:szCs w:val="40"/>
          <w:lang w:val="es-DO"/>
        </w:rPr>
        <w:t>resultados</w:t>
      </w:r>
      <w:r w:rsidR="002E4A8A" w:rsidRPr="005337C2">
        <w:rPr>
          <w:rFonts w:ascii="Calibri" w:hAnsi="Calibri" w:cs="Calibri"/>
          <w:sz w:val="40"/>
          <w:szCs w:val="40"/>
          <w:lang w:val="es-DO"/>
        </w:rPr>
        <w:t xml:space="preserve"> del sector bancario </w:t>
      </w:r>
      <w:r w:rsidR="00734A7F" w:rsidRPr="005337C2">
        <w:rPr>
          <w:rFonts w:ascii="Calibri" w:hAnsi="Calibri" w:cs="Calibri"/>
          <w:sz w:val="40"/>
          <w:szCs w:val="40"/>
          <w:lang w:val="es-DO"/>
        </w:rPr>
        <w:t xml:space="preserve">durante </w:t>
      </w:r>
      <w:r w:rsidR="00565239" w:rsidRPr="005337C2">
        <w:rPr>
          <w:rFonts w:ascii="Calibri" w:hAnsi="Calibri" w:cs="Calibri"/>
          <w:sz w:val="40"/>
          <w:szCs w:val="40"/>
          <w:lang w:val="es-DO"/>
        </w:rPr>
        <w:t xml:space="preserve">el año </w:t>
      </w:r>
      <w:r w:rsidR="002E4A8A" w:rsidRPr="005337C2">
        <w:rPr>
          <w:rFonts w:ascii="Calibri" w:hAnsi="Calibri" w:cs="Calibri"/>
          <w:sz w:val="40"/>
          <w:szCs w:val="40"/>
          <w:lang w:val="es-DO"/>
        </w:rPr>
        <w:t>2024</w:t>
      </w:r>
    </w:p>
    <w:p w14:paraId="511A2E7F" w14:textId="5CA21D39" w:rsidR="00D832B4" w:rsidRPr="00B83DB6" w:rsidRDefault="000F5A9D" w:rsidP="007108C8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ES"/>
        </w:rPr>
      </w:pPr>
      <w:r w:rsidRPr="00B83DB6">
        <w:rPr>
          <w:rFonts w:ascii="Calibri" w:hAnsi="Calibri" w:cs="Calibri"/>
          <w:i/>
          <w:iCs/>
          <w:sz w:val="26"/>
          <w:szCs w:val="26"/>
          <w:lang w:val="es-ES"/>
        </w:rPr>
        <w:t>Informó que, a diciembre de 2024, los activos de la banca múltiple totalizaron RD$3</w:t>
      </w:r>
      <w:r w:rsidR="00743C73">
        <w:rPr>
          <w:rFonts w:ascii="Calibri" w:hAnsi="Calibri" w:cs="Calibri"/>
          <w:i/>
          <w:iCs/>
          <w:sz w:val="26"/>
          <w:szCs w:val="26"/>
          <w:lang w:val="es-ES"/>
        </w:rPr>
        <w:t>.4</w:t>
      </w:r>
      <w:r w:rsidRPr="00B83DB6">
        <w:rPr>
          <w:rFonts w:ascii="Calibri" w:hAnsi="Calibri" w:cs="Calibri"/>
          <w:i/>
          <w:iCs/>
          <w:sz w:val="26"/>
          <w:szCs w:val="26"/>
          <w:lang w:val="es-ES"/>
        </w:rPr>
        <w:t xml:space="preserve"> billones.</w:t>
      </w:r>
    </w:p>
    <w:p w14:paraId="6D29B540" w14:textId="77777777" w:rsidR="000F5A9D" w:rsidRPr="00B83DB6" w:rsidRDefault="000F5A9D" w:rsidP="007108C8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58073F23" w14:textId="4DBB2961" w:rsidR="001162A5" w:rsidRPr="00B83DB6" w:rsidRDefault="009D457D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 w:eastAsia="es-MX"/>
        </w:rPr>
      </w:pPr>
      <w:r w:rsidRPr="00B83DB6">
        <w:rPr>
          <w:rFonts w:ascii="Calibri" w:hAnsi="Calibri" w:cs="Calibri"/>
          <w:sz w:val="26"/>
          <w:szCs w:val="26"/>
          <w:lang w:val="es-DO" w:eastAsia="es-MX"/>
        </w:rPr>
        <w:t>S</w:t>
      </w:r>
      <w:r w:rsidR="00020148" w:rsidRPr="00B83DB6">
        <w:rPr>
          <w:rFonts w:ascii="Calibri" w:hAnsi="Calibri" w:cs="Calibri"/>
          <w:b/>
          <w:bCs/>
          <w:sz w:val="26"/>
          <w:szCs w:val="26"/>
          <w:lang w:val="es-DO" w:eastAsia="es-MX"/>
        </w:rPr>
        <w:t>anto Domingo, Rep. Dom.-</w:t>
      </w:r>
      <w:r w:rsidR="00020148" w:rsidRPr="00B83DB6">
        <w:rPr>
          <w:rFonts w:ascii="Calibri" w:hAnsi="Calibri" w:cs="Calibri"/>
          <w:sz w:val="26"/>
          <w:szCs w:val="26"/>
          <w:lang w:val="es-DO" w:eastAsia="es-MX"/>
        </w:rPr>
        <w:t xml:space="preserve"> </w:t>
      </w:r>
      <w:r w:rsidR="007108C8" w:rsidRPr="00B83DB6">
        <w:rPr>
          <w:rFonts w:ascii="Calibri" w:hAnsi="Calibri" w:cs="Calibri"/>
          <w:sz w:val="26"/>
          <w:szCs w:val="26"/>
          <w:lang w:val="es-DO" w:eastAsia="es-MX"/>
        </w:rPr>
        <w:t xml:space="preserve"> </w:t>
      </w:r>
      <w:r w:rsidR="009E75CC" w:rsidRPr="00B83DB6">
        <w:rPr>
          <w:rFonts w:ascii="Calibri" w:hAnsi="Calibri" w:cs="Calibri"/>
          <w:sz w:val="26"/>
          <w:szCs w:val="26"/>
          <w:lang w:val="es-DO" w:eastAsia="es-MX"/>
        </w:rPr>
        <w:t xml:space="preserve">La Asociación de Bancos Múltiples de la República Dominicana </w:t>
      </w:r>
      <w:r w:rsidR="008576C2" w:rsidRPr="00B83DB6">
        <w:rPr>
          <w:rFonts w:ascii="Calibri" w:hAnsi="Calibri" w:cs="Calibri"/>
          <w:sz w:val="26"/>
          <w:szCs w:val="26"/>
          <w:lang w:val="es-DO" w:eastAsia="es-MX"/>
        </w:rPr>
        <w:t xml:space="preserve">(ABA) </w:t>
      </w:r>
      <w:r w:rsidR="002E4A8A" w:rsidRPr="00B83DB6">
        <w:rPr>
          <w:rFonts w:ascii="Calibri" w:hAnsi="Calibri" w:cs="Calibri"/>
          <w:sz w:val="26"/>
          <w:szCs w:val="26"/>
          <w:lang w:val="es-DO" w:eastAsia="es-MX"/>
        </w:rPr>
        <w:t xml:space="preserve">destacó </w:t>
      </w:r>
      <w:r w:rsidR="00B1769B">
        <w:rPr>
          <w:rFonts w:ascii="Calibri" w:hAnsi="Calibri" w:cs="Calibri"/>
          <w:sz w:val="26"/>
          <w:szCs w:val="26"/>
          <w:lang w:val="es-DO" w:eastAsia="es-MX"/>
        </w:rPr>
        <w:t xml:space="preserve">el </w:t>
      </w:r>
      <w:r w:rsidR="002E4A8A" w:rsidRPr="00B83DB6">
        <w:rPr>
          <w:rFonts w:ascii="Calibri" w:hAnsi="Calibri" w:cs="Calibri"/>
          <w:sz w:val="26"/>
          <w:szCs w:val="26"/>
          <w:lang w:val="es-DO" w:eastAsia="es-MX"/>
        </w:rPr>
        <w:t xml:space="preserve">desempeño del sector bancario </w:t>
      </w:r>
      <w:r w:rsidR="00155186" w:rsidRPr="00B83DB6">
        <w:rPr>
          <w:rFonts w:ascii="Calibri" w:hAnsi="Calibri" w:cs="Calibri"/>
          <w:sz w:val="26"/>
          <w:szCs w:val="26"/>
          <w:lang w:val="es-DO" w:eastAsia="es-MX"/>
        </w:rPr>
        <w:t>que opera en el país</w:t>
      </w:r>
      <w:r w:rsidR="002E4A8A" w:rsidRPr="00B83DB6">
        <w:rPr>
          <w:rFonts w:ascii="Calibri" w:hAnsi="Calibri" w:cs="Calibri"/>
          <w:sz w:val="26"/>
          <w:szCs w:val="26"/>
          <w:lang w:val="es-DO" w:eastAsia="es-MX"/>
        </w:rPr>
        <w:t xml:space="preserve">, </w:t>
      </w:r>
      <w:r w:rsidR="003615BF" w:rsidRPr="00B83DB6">
        <w:rPr>
          <w:rFonts w:ascii="Calibri" w:hAnsi="Calibri" w:cs="Calibri"/>
          <w:sz w:val="26"/>
          <w:szCs w:val="26"/>
          <w:lang w:val="es-DO" w:eastAsia="es-MX"/>
        </w:rPr>
        <w:t>cuyos</w:t>
      </w:r>
      <w:r w:rsidR="008576C2" w:rsidRPr="00B83DB6">
        <w:rPr>
          <w:rFonts w:ascii="Calibri" w:hAnsi="Calibri" w:cs="Calibri"/>
          <w:sz w:val="26"/>
          <w:szCs w:val="26"/>
          <w:lang w:val="es-DO" w:eastAsia="es-MX"/>
        </w:rPr>
        <w:t xml:space="preserve"> resultados financieros </w:t>
      </w:r>
      <w:r w:rsidR="003615BF" w:rsidRPr="00B83DB6">
        <w:rPr>
          <w:rFonts w:ascii="Calibri" w:hAnsi="Calibri" w:cs="Calibri"/>
          <w:sz w:val="26"/>
          <w:szCs w:val="26"/>
          <w:lang w:val="es-DO" w:eastAsia="es-MX"/>
        </w:rPr>
        <w:t>reflejaron</w:t>
      </w:r>
      <w:r w:rsidR="00CC17F8" w:rsidRPr="00B83DB6">
        <w:rPr>
          <w:rFonts w:ascii="Calibri" w:hAnsi="Calibri" w:cs="Calibri"/>
          <w:sz w:val="26"/>
          <w:szCs w:val="26"/>
          <w:lang w:val="es-DO" w:eastAsia="es-MX"/>
        </w:rPr>
        <w:t>, al finalizar el año 2024,</w:t>
      </w:r>
      <w:r w:rsidR="008576C2" w:rsidRPr="00B83DB6">
        <w:rPr>
          <w:rFonts w:ascii="Calibri" w:hAnsi="Calibri" w:cs="Calibri"/>
          <w:sz w:val="26"/>
          <w:szCs w:val="26"/>
          <w:lang w:val="es-DO" w:eastAsia="es-MX"/>
        </w:rPr>
        <w:t xml:space="preserve"> </w:t>
      </w:r>
      <w:r w:rsidR="00A5143E" w:rsidRPr="00B83DB6">
        <w:rPr>
          <w:rFonts w:ascii="Calibri" w:hAnsi="Calibri" w:cs="Calibri"/>
          <w:sz w:val="26"/>
          <w:szCs w:val="26"/>
          <w:lang w:val="es-DO" w:eastAsia="es-MX"/>
        </w:rPr>
        <w:t xml:space="preserve">una </w:t>
      </w:r>
      <w:r w:rsidR="002A6EA5" w:rsidRPr="00B83DB6">
        <w:rPr>
          <w:rFonts w:ascii="Calibri" w:hAnsi="Calibri" w:cs="Calibri"/>
          <w:sz w:val="26"/>
          <w:szCs w:val="26"/>
          <w:lang w:val="es-DO" w:eastAsia="es-MX"/>
        </w:rPr>
        <w:t>adecuada gestión de los recursos que depositan los ahorrantes</w:t>
      </w:r>
      <w:r w:rsidR="00CC17F8" w:rsidRPr="00B83DB6">
        <w:rPr>
          <w:rFonts w:ascii="Calibri" w:hAnsi="Calibri" w:cs="Calibri"/>
          <w:sz w:val="26"/>
          <w:szCs w:val="26"/>
          <w:lang w:val="es-DO" w:eastAsia="es-MX"/>
        </w:rPr>
        <w:t xml:space="preserve"> y </w:t>
      </w:r>
      <w:r w:rsidR="00F071B8" w:rsidRPr="00B83DB6">
        <w:rPr>
          <w:rFonts w:ascii="Calibri" w:hAnsi="Calibri" w:cs="Calibri"/>
          <w:sz w:val="26"/>
          <w:szCs w:val="26"/>
          <w:lang w:val="es-DO" w:eastAsia="es-MX"/>
        </w:rPr>
        <w:t>el valor de su</w:t>
      </w:r>
      <w:r w:rsidR="005E2059" w:rsidRPr="00B83DB6">
        <w:rPr>
          <w:rFonts w:ascii="Calibri" w:hAnsi="Calibri" w:cs="Calibri"/>
          <w:sz w:val="26"/>
          <w:szCs w:val="26"/>
          <w:lang w:val="es-DO" w:eastAsia="es-MX"/>
        </w:rPr>
        <w:t xml:space="preserve"> aporte a la actividad económica.</w:t>
      </w:r>
    </w:p>
    <w:p w14:paraId="46DEF172" w14:textId="77777777" w:rsidR="005337C2" w:rsidRPr="00B83DB6" w:rsidRDefault="005337C2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 w:eastAsia="es-MX"/>
        </w:rPr>
      </w:pPr>
    </w:p>
    <w:p w14:paraId="37A46FDC" w14:textId="6BE3A679" w:rsidR="009D457D" w:rsidRPr="00B83DB6" w:rsidRDefault="00F40BF3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 w:rsidRPr="00B83DB6">
        <w:rPr>
          <w:rFonts w:ascii="Calibri" w:hAnsi="Calibri" w:cs="Calibri"/>
          <w:sz w:val="26"/>
          <w:szCs w:val="26"/>
          <w:lang w:val="es-DO" w:eastAsia="es-MX"/>
        </w:rPr>
        <w:t xml:space="preserve">La ABA </w:t>
      </w:r>
      <w:r w:rsidR="005710BA">
        <w:rPr>
          <w:rFonts w:ascii="Calibri" w:hAnsi="Calibri" w:cs="Calibri"/>
          <w:sz w:val="26"/>
          <w:szCs w:val="26"/>
          <w:lang w:val="es-DO" w:eastAsia="es-MX"/>
        </w:rPr>
        <w:t xml:space="preserve">valoró los </w:t>
      </w:r>
      <w:r w:rsidR="00B638FE">
        <w:rPr>
          <w:rFonts w:ascii="Calibri" w:hAnsi="Calibri" w:cs="Calibri"/>
          <w:sz w:val="26"/>
          <w:szCs w:val="26"/>
          <w:lang w:val="es-DO" w:eastAsia="es-MX"/>
        </w:rPr>
        <w:t xml:space="preserve">apropiados </w:t>
      </w:r>
      <w:r w:rsidR="005710BA">
        <w:rPr>
          <w:rFonts w:ascii="Calibri" w:hAnsi="Calibri" w:cs="Calibri"/>
          <w:sz w:val="26"/>
          <w:szCs w:val="26"/>
          <w:lang w:val="es-DO" w:eastAsia="es-MX"/>
        </w:rPr>
        <w:t>niveles exhibidos por la banca múltiple en materia de</w:t>
      </w:r>
      <w:r w:rsidR="009D457D" w:rsidRPr="00B83DB6">
        <w:rPr>
          <w:rFonts w:ascii="Calibri" w:hAnsi="Calibri" w:cs="Calibri"/>
          <w:sz w:val="26"/>
          <w:szCs w:val="26"/>
          <w:lang w:val="es-ES"/>
        </w:rPr>
        <w:t xml:space="preserve"> liquidez, calidad de su cartera de crédito, </w:t>
      </w:r>
      <w:r w:rsidR="005710BA" w:rsidRPr="00B83DB6">
        <w:rPr>
          <w:rFonts w:ascii="Calibri" w:hAnsi="Calibri" w:cs="Calibri"/>
          <w:sz w:val="26"/>
          <w:szCs w:val="26"/>
          <w:lang w:val="es-ES"/>
        </w:rPr>
        <w:t>rentabilidad</w:t>
      </w:r>
      <w:r w:rsidR="005710BA">
        <w:rPr>
          <w:rFonts w:ascii="Calibri" w:hAnsi="Calibri" w:cs="Calibri"/>
          <w:sz w:val="26"/>
          <w:szCs w:val="26"/>
          <w:lang w:val="es-ES"/>
        </w:rPr>
        <w:t xml:space="preserve"> y </w:t>
      </w:r>
      <w:r w:rsidR="00B638FE">
        <w:rPr>
          <w:rFonts w:ascii="Calibri" w:hAnsi="Calibri" w:cs="Calibri"/>
          <w:sz w:val="26"/>
          <w:szCs w:val="26"/>
          <w:lang w:val="es-ES"/>
        </w:rPr>
        <w:t xml:space="preserve">una </w:t>
      </w:r>
      <w:r w:rsidR="009D457D" w:rsidRPr="00B83DB6">
        <w:rPr>
          <w:rFonts w:ascii="Calibri" w:hAnsi="Calibri" w:cs="Calibri"/>
          <w:sz w:val="26"/>
          <w:szCs w:val="26"/>
          <w:lang w:val="es-ES"/>
        </w:rPr>
        <w:t>capitalización</w:t>
      </w:r>
      <w:r w:rsidR="00B638FE">
        <w:rPr>
          <w:rFonts w:ascii="Calibri" w:hAnsi="Calibri" w:cs="Calibri"/>
          <w:sz w:val="26"/>
          <w:szCs w:val="26"/>
          <w:lang w:val="es-ES"/>
        </w:rPr>
        <w:t xml:space="preserve"> que supera</w:t>
      </w:r>
      <w:r w:rsidR="009D457D" w:rsidRPr="00B83DB6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B638FE">
        <w:rPr>
          <w:rFonts w:ascii="Calibri" w:hAnsi="Calibri" w:cs="Calibri"/>
          <w:sz w:val="26"/>
          <w:szCs w:val="26"/>
          <w:lang w:val="es-ES"/>
        </w:rPr>
        <w:t>el</w:t>
      </w:r>
      <w:r w:rsidR="009D457D" w:rsidRPr="00B83DB6">
        <w:rPr>
          <w:rFonts w:ascii="Calibri" w:hAnsi="Calibri" w:cs="Calibri"/>
          <w:sz w:val="26"/>
          <w:szCs w:val="26"/>
          <w:lang w:val="es-ES"/>
        </w:rPr>
        <w:t xml:space="preserve"> nivel regulatorio</w:t>
      </w:r>
      <w:r w:rsidR="005710BA">
        <w:rPr>
          <w:rFonts w:ascii="Calibri" w:hAnsi="Calibri" w:cs="Calibri"/>
          <w:sz w:val="26"/>
          <w:szCs w:val="26"/>
          <w:lang w:val="es-ES"/>
        </w:rPr>
        <w:t>,</w:t>
      </w:r>
      <w:r w:rsidR="009D457D" w:rsidRPr="00B83DB6">
        <w:rPr>
          <w:rFonts w:ascii="Calibri" w:hAnsi="Calibri" w:cs="Calibri"/>
          <w:sz w:val="26"/>
          <w:szCs w:val="26"/>
          <w:lang w:val="es-ES"/>
        </w:rPr>
        <w:t xml:space="preserve"> </w:t>
      </w:r>
      <w:r w:rsidR="002C20CB" w:rsidRPr="00B83DB6">
        <w:rPr>
          <w:rFonts w:ascii="Calibri" w:hAnsi="Calibri" w:cs="Calibri"/>
          <w:sz w:val="26"/>
          <w:szCs w:val="26"/>
          <w:lang w:val="es-ES"/>
        </w:rPr>
        <w:t xml:space="preserve">pese a </w:t>
      </w:r>
      <w:r w:rsidR="0011239A" w:rsidRPr="00B83DB6">
        <w:rPr>
          <w:rFonts w:ascii="Calibri" w:hAnsi="Calibri" w:cs="Calibri"/>
          <w:sz w:val="26"/>
          <w:szCs w:val="26"/>
          <w:lang w:val="es-ES"/>
        </w:rPr>
        <w:t xml:space="preserve">que predominó </w:t>
      </w:r>
      <w:r w:rsidR="005710BA">
        <w:rPr>
          <w:rFonts w:ascii="Calibri" w:hAnsi="Calibri" w:cs="Calibri"/>
          <w:sz w:val="26"/>
          <w:szCs w:val="26"/>
          <w:lang w:val="es-ES"/>
        </w:rPr>
        <w:t xml:space="preserve">durante el período </w:t>
      </w:r>
      <w:r w:rsidR="002C20CB" w:rsidRPr="00B83DB6">
        <w:rPr>
          <w:rFonts w:ascii="Calibri" w:hAnsi="Calibri" w:cs="Calibri"/>
          <w:sz w:val="26"/>
          <w:szCs w:val="26"/>
          <w:lang w:val="es-ES"/>
        </w:rPr>
        <w:t xml:space="preserve">un entorno </w:t>
      </w:r>
      <w:r w:rsidR="0011239A" w:rsidRPr="00B83DB6">
        <w:rPr>
          <w:rFonts w:ascii="Calibri" w:hAnsi="Calibri" w:cs="Calibri"/>
          <w:sz w:val="26"/>
          <w:szCs w:val="26"/>
          <w:lang w:val="es-ES"/>
        </w:rPr>
        <w:t>internacional retador.</w:t>
      </w:r>
    </w:p>
    <w:p w14:paraId="0E4A5933" w14:textId="77777777" w:rsidR="009E3631" w:rsidRPr="00B83DB6" w:rsidRDefault="009E3631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</w:p>
    <w:p w14:paraId="5268B6BC" w14:textId="03D477E0" w:rsidR="000035A7" w:rsidRDefault="00490C31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 w:rsidRPr="00B83DB6">
        <w:rPr>
          <w:rFonts w:ascii="Calibri" w:hAnsi="Calibri" w:cs="Calibri"/>
          <w:sz w:val="26"/>
          <w:szCs w:val="26"/>
          <w:lang w:val="es-ES"/>
        </w:rPr>
        <w:t>Informó que, a</w:t>
      </w:r>
      <w:r w:rsidR="009E3631" w:rsidRPr="00B83DB6">
        <w:rPr>
          <w:rFonts w:ascii="Calibri" w:hAnsi="Calibri" w:cs="Calibri"/>
          <w:sz w:val="26"/>
          <w:szCs w:val="26"/>
          <w:lang w:val="es-ES"/>
        </w:rPr>
        <w:t xml:space="preserve"> diciembre de 2024, los activos de la banca múltiple totalizaron </w:t>
      </w:r>
      <w:r w:rsidR="00A63B41" w:rsidRPr="00B83DB6">
        <w:rPr>
          <w:rFonts w:ascii="Calibri" w:hAnsi="Calibri" w:cs="Calibri"/>
          <w:sz w:val="26"/>
          <w:szCs w:val="26"/>
          <w:lang w:val="es-ES"/>
        </w:rPr>
        <w:t>RD$3</w:t>
      </w:r>
      <w:r w:rsidR="00743C73">
        <w:rPr>
          <w:rFonts w:ascii="Calibri" w:hAnsi="Calibri" w:cs="Calibri"/>
          <w:sz w:val="26"/>
          <w:szCs w:val="26"/>
          <w:lang w:val="es-ES"/>
        </w:rPr>
        <w:t>.4</w:t>
      </w:r>
      <w:r w:rsidR="00A63B41" w:rsidRPr="00B83DB6">
        <w:rPr>
          <w:rFonts w:ascii="Calibri" w:hAnsi="Calibri" w:cs="Calibri"/>
          <w:sz w:val="26"/>
          <w:szCs w:val="26"/>
          <w:lang w:val="es-ES"/>
        </w:rPr>
        <w:t xml:space="preserve"> billones</w:t>
      </w:r>
      <w:r w:rsidRPr="00B83DB6">
        <w:rPr>
          <w:rFonts w:ascii="Calibri" w:hAnsi="Calibri" w:cs="Calibri"/>
          <w:sz w:val="26"/>
          <w:szCs w:val="26"/>
          <w:lang w:val="es-ES"/>
        </w:rPr>
        <w:t>.</w:t>
      </w:r>
      <w:r w:rsidR="00287DD4">
        <w:rPr>
          <w:rFonts w:ascii="Calibri" w:hAnsi="Calibri" w:cs="Calibri"/>
          <w:sz w:val="26"/>
          <w:szCs w:val="26"/>
          <w:lang w:val="es-ES"/>
        </w:rPr>
        <w:t xml:space="preserve"> </w:t>
      </w:r>
      <w:r w:rsidRPr="002D4174">
        <w:rPr>
          <w:rFonts w:ascii="Calibri" w:hAnsi="Calibri" w:cs="Calibri"/>
          <w:sz w:val="26"/>
          <w:szCs w:val="26"/>
          <w:lang w:val="es-ES"/>
        </w:rPr>
        <w:t xml:space="preserve">Mientras, </w:t>
      </w:r>
      <w:r w:rsidR="000035A7" w:rsidRPr="002D4174">
        <w:rPr>
          <w:rFonts w:ascii="Calibri" w:hAnsi="Calibri" w:cs="Calibri"/>
          <w:sz w:val="26"/>
          <w:szCs w:val="26"/>
          <w:lang w:val="es-DO"/>
        </w:rPr>
        <w:t>“</w:t>
      </w:r>
      <w:r w:rsidRPr="002D4174">
        <w:rPr>
          <w:rFonts w:ascii="Calibri" w:hAnsi="Calibri" w:cs="Calibri"/>
          <w:sz w:val="26"/>
          <w:szCs w:val="26"/>
          <w:lang w:val="es-AR"/>
        </w:rPr>
        <w:t>l</w:t>
      </w:r>
      <w:r w:rsidR="000035A7" w:rsidRPr="002D4174">
        <w:rPr>
          <w:rFonts w:ascii="Calibri" w:hAnsi="Calibri" w:cs="Calibri"/>
          <w:sz w:val="26"/>
          <w:szCs w:val="26"/>
          <w:lang w:val="es-AR"/>
        </w:rPr>
        <w:t xml:space="preserve">os depósitos, que constituyen la materia prima de la intermediación financiera y </w:t>
      </w:r>
      <w:r w:rsidR="00D13620" w:rsidRPr="002D4174">
        <w:rPr>
          <w:rFonts w:ascii="Calibri" w:hAnsi="Calibri" w:cs="Calibri"/>
          <w:sz w:val="26"/>
          <w:szCs w:val="26"/>
          <w:lang w:val="es-AR"/>
        </w:rPr>
        <w:t>que reflejan</w:t>
      </w:r>
      <w:r w:rsidR="000035A7" w:rsidRPr="002D4174">
        <w:rPr>
          <w:rFonts w:ascii="Calibri" w:hAnsi="Calibri" w:cs="Calibri"/>
          <w:sz w:val="26"/>
          <w:szCs w:val="26"/>
          <w:lang w:val="es-AR"/>
        </w:rPr>
        <w:t xml:space="preserve"> la confianza del público</w:t>
      </w:r>
      <w:r w:rsidR="00D13620" w:rsidRPr="002D4174">
        <w:rPr>
          <w:rFonts w:ascii="Calibri" w:hAnsi="Calibri" w:cs="Calibri"/>
          <w:sz w:val="26"/>
          <w:szCs w:val="26"/>
          <w:lang w:val="es-AR"/>
        </w:rPr>
        <w:t xml:space="preserve"> en la banca múltiple,</w:t>
      </w:r>
      <w:r w:rsidR="000035A7" w:rsidRPr="002D4174">
        <w:rPr>
          <w:rFonts w:ascii="Calibri" w:hAnsi="Calibri" w:cs="Calibri"/>
          <w:sz w:val="26"/>
          <w:szCs w:val="26"/>
          <w:lang w:val="es-AR"/>
        </w:rPr>
        <w:t xml:space="preserve"> registraron un valor de RD$2.56 billones, para un crecimiento absoluto de RD$257,342.3 millones y de 11.2% en términos porcentuales, comparado con diciembre de 2023</w:t>
      </w:r>
      <w:r w:rsidR="00003940">
        <w:rPr>
          <w:rFonts w:ascii="Calibri" w:hAnsi="Calibri" w:cs="Calibri"/>
          <w:sz w:val="26"/>
          <w:szCs w:val="26"/>
          <w:lang w:val="es-AR"/>
        </w:rPr>
        <w:t>”, agregó</w:t>
      </w:r>
      <w:r w:rsidR="000035A7" w:rsidRPr="002D4174">
        <w:rPr>
          <w:rFonts w:ascii="Calibri" w:hAnsi="Calibri" w:cs="Calibri"/>
          <w:sz w:val="26"/>
          <w:szCs w:val="26"/>
          <w:lang w:val="es-AR"/>
        </w:rPr>
        <w:t>.</w:t>
      </w:r>
    </w:p>
    <w:p w14:paraId="384FF3C9" w14:textId="77777777" w:rsidR="00D022FB" w:rsidRDefault="00D022FB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63B598E1" w14:textId="628108F0" w:rsidR="00D022FB" w:rsidRPr="002D4174" w:rsidRDefault="00D022FB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  <w:lang w:val="es-AR"/>
        </w:rPr>
        <w:t xml:space="preserve">La ABA puso de relieve que estos resultados se </w:t>
      </w:r>
      <w:r w:rsidR="006B5EFC">
        <w:rPr>
          <w:rFonts w:ascii="Calibri" w:hAnsi="Calibri" w:cs="Calibri"/>
          <w:sz w:val="26"/>
          <w:szCs w:val="26"/>
          <w:lang w:val="es-AR"/>
        </w:rPr>
        <w:t>produjeron</w:t>
      </w:r>
      <w:r>
        <w:rPr>
          <w:rFonts w:ascii="Calibri" w:hAnsi="Calibri" w:cs="Calibri"/>
          <w:sz w:val="26"/>
          <w:szCs w:val="26"/>
          <w:lang w:val="es-AR"/>
        </w:rPr>
        <w:t xml:space="preserve"> en el contexto de una </w:t>
      </w:r>
      <w:r w:rsidR="006B78E1">
        <w:rPr>
          <w:rFonts w:ascii="Calibri" w:hAnsi="Calibri" w:cs="Calibri"/>
          <w:sz w:val="26"/>
          <w:szCs w:val="26"/>
          <w:lang w:val="es-AR"/>
        </w:rPr>
        <w:t xml:space="preserve">estabilidad económica, caracterizada por un crecimiento de 5.0% </w:t>
      </w:r>
      <w:r w:rsidR="00F01525">
        <w:rPr>
          <w:rFonts w:ascii="Calibri" w:hAnsi="Calibri" w:cs="Calibri"/>
          <w:sz w:val="26"/>
          <w:szCs w:val="26"/>
          <w:lang w:val="es-AR"/>
        </w:rPr>
        <w:t xml:space="preserve">al finalizar el año </w:t>
      </w:r>
      <w:r w:rsidR="006B78E1">
        <w:rPr>
          <w:rFonts w:ascii="Calibri" w:hAnsi="Calibri" w:cs="Calibri"/>
          <w:sz w:val="26"/>
          <w:szCs w:val="26"/>
          <w:lang w:val="es-AR"/>
        </w:rPr>
        <w:t xml:space="preserve">y con una inflación </w:t>
      </w:r>
      <w:r w:rsidR="00760A21">
        <w:rPr>
          <w:rFonts w:ascii="Calibri" w:hAnsi="Calibri" w:cs="Calibri"/>
          <w:sz w:val="26"/>
          <w:szCs w:val="26"/>
          <w:lang w:val="es-AR"/>
        </w:rPr>
        <w:t xml:space="preserve">que concluyó </w:t>
      </w:r>
      <w:r w:rsidR="00F01525">
        <w:rPr>
          <w:rFonts w:ascii="Calibri" w:hAnsi="Calibri" w:cs="Calibri"/>
          <w:sz w:val="26"/>
          <w:szCs w:val="26"/>
          <w:lang w:val="es-AR"/>
        </w:rPr>
        <w:t>en</w:t>
      </w:r>
      <w:r w:rsidR="00760A21">
        <w:rPr>
          <w:rFonts w:ascii="Calibri" w:hAnsi="Calibri" w:cs="Calibri"/>
          <w:sz w:val="26"/>
          <w:szCs w:val="26"/>
          <w:lang w:val="es-AR"/>
        </w:rPr>
        <w:t xml:space="preserve"> 3.4%</w:t>
      </w:r>
      <w:r w:rsidR="00F01525"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711A45">
        <w:rPr>
          <w:rFonts w:ascii="Calibri" w:hAnsi="Calibri" w:cs="Calibri"/>
          <w:sz w:val="26"/>
          <w:szCs w:val="26"/>
          <w:lang w:val="es-AR"/>
        </w:rPr>
        <w:t>el menor indicador en los últimos seis años, según informó recientemente el Banco Central.</w:t>
      </w:r>
    </w:p>
    <w:p w14:paraId="5ED3DCE1" w14:textId="77777777" w:rsidR="000035A7" w:rsidRPr="002D4174" w:rsidRDefault="000035A7" w:rsidP="000F5A9D">
      <w:pPr>
        <w:pStyle w:val="Sinespaciado"/>
        <w:jc w:val="both"/>
        <w:rPr>
          <w:rFonts w:ascii="Calibri" w:hAnsi="Calibri" w:cs="Calibri"/>
          <w:sz w:val="26"/>
          <w:szCs w:val="26"/>
          <w:highlight w:val="yellow"/>
          <w:lang w:val="es-ES"/>
        </w:rPr>
      </w:pPr>
    </w:p>
    <w:p w14:paraId="29B22B03" w14:textId="2D8707FA" w:rsidR="009A6C10" w:rsidRPr="00B77300" w:rsidRDefault="000035A7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 w:rsidRPr="00B77300">
        <w:rPr>
          <w:rFonts w:ascii="Calibri" w:hAnsi="Calibri" w:cs="Calibri"/>
          <w:sz w:val="26"/>
          <w:szCs w:val="26"/>
          <w:lang w:val="es-AR"/>
        </w:rPr>
        <w:t xml:space="preserve">Con relación al </w:t>
      </w:r>
      <w:r w:rsidR="00A265B3" w:rsidRPr="00B77300">
        <w:rPr>
          <w:rFonts w:ascii="Calibri" w:hAnsi="Calibri" w:cs="Calibri"/>
          <w:sz w:val="26"/>
          <w:szCs w:val="26"/>
          <w:lang w:val="es-AR"/>
        </w:rPr>
        <w:t>financiamiento</w:t>
      </w:r>
      <w:r w:rsidRPr="00B77300"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B77300" w:rsidRPr="00B77300">
        <w:rPr>
          <w:rFonts w:ascii="Calibri" w:hAnsi="Calibri" w:cs="Calibri"/>
          <w:sz w:val="26"/>
          <w:szCs w:val="26"/>
          <w:lang w:val="es-AR"/>
        </w:rPr>
        <w:t xml:space="preserve">a partir de estadísticas </w:t>
      </w:r>
      <w:r w:rsidR="00711A45">
        <w:rPr>
          <w:rFonts w:ascii="Calibri" w:hAnsi="Calibri" w:cs="Calibri"/>
          <w:sz w:val="26"/>
          <w:szCs w:val="26"/>
          <w:lang w:val="es-AR"/>
        </w:rPr>
        <w:t>organismo ofici</w:t>
      </w:r>
      <w:r w:rsidR="00B77300" w:rsidRPr="00B77300">
        <w:rPr>
          <w:rFonts w:ascii="Calibri" w:hAnsi="Calibri" w:cs="Calibri"/>
          <w:sz w:val="26"/>
          <w:szCs w:val="26"/>
          <w:lang w:val="es-AR"/>
        </w:rPr>
        <w:t xml:space="preserve">al, </w:t>
      </w:r>
      <w:r w:rsidR="00917DA7">
        <w:rPr>
          <w:rFonts w:ascii="Calibri" w:hAnsi="Calibri" w:cs="Calibri"/>
          <w:sz w:val="26"/>
          <w:szCs w:val="26"/>
          <w:lang w:val="es-AR"/>
        </w:rPr>
        <w:t xml:space="preserve">el gremio </w:t>
      </w:r>
      <w:r w:rsidRPr="00B77300">
        <w:rPr>
          <w:rFonts w:ascii="Calibri" w:hAnsi="Calibri" w:cs="Calibri"/>
          <w:sz w:val="26"/>
          <w:szCs w:val="26"/>
          <w:lang w:val="es-AR"/>
        </w:rPr>
        <w:t>p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recisó que la cartera </w:t>
      </w:r>
      <w:r w:rsidR="001A032D" w:rsidRPr="00B77300">
        <w:rPr>
          <w:rFonts w:ascii="Calibri" w:hAnsi="Calibri" w:cs="Calibri"/>
          <w:sz w:val="26"/>
          <w:szCs w:val="26"/>
          <w:lang w:val="es-AR"/>
        </w:rPr>
        <w:t>bruta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 de crédito</w:t>
      </w:r>
      <w:r w:rsidR="001A032D" w:rsidRPr="00B77300">
        <w:rPr>
          <w:rFonts w:ascii="Calibri" w:hAnsi="Calibri" w:cs="Calibri"/>
          <w:sz w:val="26"/>
          <w:szCs w:val="26"/>
          <w:lang w:val="es-AR"/>
        </w:rPr>
        <w:t xml:space="preserve"> privado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 bancario se ubicó en RD$1.8</w:t>
      </w:r>
      <w:r w:rsidR="00C83128" w:rsidRPr="00B77300">
        <w:rPr>
          <w:rFonts w:ascii="Calibri" w:hAnsi="Calibri" w:cs="Calibri"/>
          <w:sz w:val="26"/>
          <w:szCs w:val="26"/>
          <w:lang w:val="es-AR"/>
        </w:rPr>
        <w:t>1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 billones</w:t>
      </w:r>
      <w:r w:rsidR="00A265B3" w:rsidRPr="00B77300">
        <w:rPr>
          <w:rFonts w:ascii="Calibri" w:hAnsi="Calibri" w:cs="Calibri"/>
          <w:sz w:val="26"/>
          <w:szCs w:val="26"/>
          <w:lang w:val="es-AR"/>
        </w:rPr>
        <w:t xml:space="preserve"> a diciembre del año pasado,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 lo que equivale a un crecimiento de 1</w:t>
      </w:r>
      <w:r w:rsidR="00A22603" w:rsidRPr="00B77300">
        <w:rPr>
          <w:rFonts w:ascii="Calibri" w:hAnsi="Calibri" w:cs="Calibri"/>
          <w:sz w:val="26"/>
          <w:szCs w:val="26"/>
          <w:lang w:val="es-AR"/>
        </w:rPr>
        <w:t>3.4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>% con respecto a</w:t>
      </w:r>
      <w:r w:rsidR="00C5700C" w:rsidRPr="00B77300">
        <w:rPr>
          <w:rFonts w:ascii="Calibri" w:hAnsi="Calibri" w:cs="Calibri"/>
          <w:sz w:val="26"/>
          <w:szCs w:val="26"/>
          <w:lang w:val="es-AR"/>
        </w:rPr>
        <w:t xml:space="preserve">l mismo mes de 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>2023</w:t>
      </w:r>
      <w:r w:rsidR="00C5700C" w:rsidRPr="00B77300"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A22603" w:rsidRPr="00B77300">
        <w:rPr>
          <w:rFonts w:ascii="Calibri" w:hAnsi="Calibri" w:cs="Calibri"/>
          <w:sz w:val="26"/>
          <w:szCs w:val="26"/>
          <w:lang w:val="es-AR"/>
        </w:rPr>
        <w:t>un incremento absoluto de</w:t>
      </w:r>
      <w:r w:rsidR="00C5700C" w:rsidRPr="00B77300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>RD$</w:t>
      </w:r>
      <w:r w:rsidR="00A22603" w:rsidRPr="00B77300">
        <w:rPr>
          <w:rFonts w:ascii="Calibri" w:hAnsi="Calibri" w:cs="Calibri"/>
          <w:sz w:val="26"/>
          <w:szCs w:val="26"/>
          <w:lang w:val="es-AR"/>
        </w:rPr>
        <w:t>217</w:t>
      </w:r>
      <w:r w:rsidR="00B647F8" w:rsidRPr="00B77300">
        <w:rPr>
          <w:rFonts w:ascii="Calibri" w:hAnsi="Calibri" w:cs="Calibri"/>
          <w:sz w:val="26"/>
          <w:szCs w:val="26"/>
          <w:lang w:val="es-AR"/>
        </w:rPr>
        <w:t xml:space="preserve"> mil millones.</w:t>
      </w:r>
      <w:r w:rsidR="009A6C10" w:rsidRPr="00B77300">
        <w:rPr>
          <w:rFonts w:ascii="Calibri" w:hAnsi="Calibri" w:cs="Calibri"/>
          <w:sz w:val="26"/>
          <w:szCs w:val="26"/>
          <w:lang w:val="es-AR"/>
        </w:rPr>
        <w:t xml:space="preserve"> </w:t>
      </w:r>
    </w:p>
    <w:p w14:paraId="5D9BD46E" w14:textId="77777777" w:rsidR="009A6C10" w:rsidRPr="008E0B77" w:rsidRDefault="009A6C10" w:rsidP="000F5A9D">
      <w:pPr>
        <w:pStyle w:val="Sinespaciado"/>
        <w:jc w:val="both"/>
        <w:rPr>
          <w:rFonts w:ascii="Calibri" w:hAnsi="Calibri" w:cs="Calibri"/>
          <w:sz w:val="26"/>
          <w:szCs w:val="26"/>
          <w:highlight w:val="yellow"/>
          <w:lang w:val="es-AR"/>
        </w:rPr>
      </w:pPr>
    </w:p>
    <w:p w14:paraId="5ED96FF4" w14:textId="15FF6EE9" w:rsidR="00E3605D" w:rsidRPr="00B83DB6" w:rsidRDefault="009A6C10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 w:eastAsia="es-MX"/>
        </w:rPr>
      </w:pPr>
      <w:r w:rsidRPr="00886D93">
        <w:rPr>
          <w:rFonts w:ascii="Calibri" w:hAnsi="Calibri" w:cs="Calibri"/>
          <w:sz w:val="26"/>
          <w:szCs w:val="26"/>
          <w:lang w:val="es-AR"/>
        </w:rPr>
        <w:t xml:space="preserve">Puntualizó que </w:t>
      </w:r>
      <w:r w:rsidR="00B83C11" w:rsidRPr="00886D93">
        <w:rPr>
          <w:rFonts w:ascii="Calibri" w:hAnsi="Calibri" w:cs="Calibri"/>
          <w:sz w:val="26"/>
          <w:szCs w:val="26"/>
          <w:lang w:val="es-AR"/>
        </w:rPr>
        <w:t xml:space="preserve">el </w:t>
      </w:r>
      <w:r w:rsidRPr="00886D93">
        <w:rPr>
          <w:rFonts w:ascii="Calibri" w:hAnsi="Calibri" w:cs="Calibri"/>
          <w:sz w:val="26"/>
          <w:szCs w:val="26"/>
          <w:lang w:val="es-AR"/>
        </w:rPr>
        <w:t xml:space="preserve">54% de </w:t>
      </w:r>
      <w:r w:rsidR="00004141" w:rsidRPr="00886D93">
        <w:rPr>
          <w:rFonts w:ascii="Calibri" w:hAnsi="Calibri" w:cs="Calibri"/>
          <w:sz w:val="26"/>
          <w:szCs w:val="26"/>
          <w:lang w:val="es-AR"/>
        </w:rPr>
        <w:t>ese incremento</w:t>
      </w:r>
      <w:r w:rsidRPr="00886D93">
        <w:rPr>
          <w:rFonts w:ascii="Calibri" w:hAnsi="Calibri" w:cs="Calibri"/>
          <w:sz w:val="26"/>
          <w:szCs w:val="26"/>
          <w:lang w:val="es-AR"/>
        </w:rPr>
        <w:t xml:space="preserve"> se destinó a sectores productivos que lo emplearon en capital de trabajo o inversiones en maquinaria</w:t>
      </w:r>
      <w:r w:rsidR="00B83C11" w:rsidRPr="00886D93">
        <w:rPr>
          <w:rFonts w:ascii="Calibri" w:hAnsi="Calibri" w:cs="Calibri"/>
          <w:sz w:val="26"/>
          <w:szCs w:val="26"/>
          <w:lang w:val="es-AR"/>
        </w:rPr>
        <w:t>s</w:t>
      </w:r>
      <w:r w:rsidRPr="00886D93">
        <w:rPr>
          <w:rFonts w:ascii="Calibri" w:hAnsi="Calibri" w:cs="Calibri"/>
          <w:sz w:val="26"/>
          <w:szCs w:val="26"/>
          <w:lang w:val="es-AR"/>
        </w:rPr>
        <w:t>, equipos o infraestructura. Mientras, el restante 46</w:t>
      </w:r>
      <w:r w:rsidR="00600731" w:rsidRPr="00886D93">
        <w:rPr>
          <w:rFonts w:ascii="Calibri" w:hAnsi="Calibri" w:cs="Calibri"/>
          <w:sz w:val="26"/>
          <w:szCs w:val="26"/>
          <w:lang w:val="es-AR"/>
        </w:rPr>
        <w:t>%</w:t>
      </w:r>
      <w:r w:rsidRPr="00886D93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600731" w:rsidRPr="00886D93">
        <w:rPr>
          <w:rFonts w:ascii="Calibri" w:hAnsi="Calibri" w:cs="Calibri"/>
          <w:sz w:val="26"/>
          <w:szCs w:val="26"/>
          <w:lang w:val="es-AR"/>
        </w:rPr>
        <w:t>generó</w:t>
      </w:r>
      <w:r w:rsidR="00600731" w:rsidRPr="00B83DB6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600731" w:rsidRPr="00B83DB6">
        <w:rPr>
          <w:rFonts w:ascii="Calibri" w:hAnsi="Calibri" w:cs="Calibri"/>
          <w:sz w:val="26"/>
          <w:szCs w:val="26"/>
          <w:lang w:val="es-AR"/>
        </w:rPr>
        <w:lastRenderedPageBreak/>
        <w:t>bienestar en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 los hogares</w:t>
      </w:r>
      <w:r w:rsidR="00600731" w:rsidRPr="00B83DB6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C15214" w:rsidRPr="00B83DB6">
        <w:rPr>
          <w:rFonts w:ascii="Calibri" w:hAnsi="Calibri" w:cs="Calibri"/>
          <w:sz w:val="26"/>
          <w:szCs w:val="26"/>
          <w:lang w:val="es-AR"/>
        </w:rPr>
        <w:t>que los utilizaron en</w:t>
      </w:r>
      <w:r w:rsidR="00803D58" w:rsidRPr="00B83DB6">
        <w:rPr>
          <w:rFonts w:ascii="Calibri" w:hAnsi="Calibri" w:cs="Calibri"/>
          <w:sz w:val="26"/>
          <w:szCs w:val="26"/>
          <w:lang w:val="es-AR"/>
        </w:rPr>
        <w:t xml:space="preserve"> remodelaci</w:t>
      </w:r>
      <w:r w:rsidR="00C15214" w:rsidRPr="00B83DB6">
        <w:rPr>
          <w:rFonts w:ascii="Calibri" w:hAnsi="Calibri" w:cs="Calibri"/>
          <w:sz w:val="26"/>
          <w:szCs w:val="26"/>
          <w:lang w:val="es-AR"/>
        </w:rPr>
        <w:t>ones</w:t>
      </w:r>
      <w:r w:rsidR="00803D58" w:rsidRPr="00B83DB6">
        <w:rPr>
          <w:rFonts w:ascii="Calibri" w:hAnsi="Calibri" w:cs="Calibri"/>
          <w:sz w:val="26"/>
          <w:szCs w:val="26"/>
          <w:lang w:val="es-AR"/>
        </w:rPr>
        <w:t xml:space="preserve"> de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2C352C" w:rsidRPr="00B83DB6">
        <w:rPr>
          <w:rFonts w:ascii="Calibri" w:hAnsi="Calibri" w:cs="Calibri"/>
          <w:sz w:val="26"/>
          <w:szCs w:val="26"/>
          <w:lang w:val="es-AR"/>
        </w:rPr>
        <w:t>su</w:t>
      </w:r>
      <w:r w:rsidR="00C15214" w:rsidRPr="00B83DB6">
        <w:rPr>
          <w:rFonts w:ascii="Calibri" w:hAnsi="Calibri" w:cs="Calibri"/>
          <w:sz w:val="26"/>
          <w:szCs w:val="26"/>
          <w:lang w:val="es-AR"/>
        </w:rPr>
        <w:t>s</w:t>
      </w:r>
      <w:r w:rsidR="002C352C" w:rsidRPr="00B83DB6">
        <w:rPr>
          <w:rFonts w:ascii="Calibri" w:hAnsi="Calibri" w:cs="Calibri"/>
          <w:sz w:val="26"/>
          <w:szCs w:val="26"/>
          <w:lang w:val="es-AR"/>
        </w:rPr>
        <w:t xml:space="preserve"> </w:t>
      </w:r>
      <w:r w:rsidRPr="00B83DB6">
        <w:rPr>
          <w:rFonts w:ascii="Calibri" w:hAnsi="Calibri" w:cs="Calibri"/>
          <w:sz w:val="26"/>
          <w:szCs w:val="26"/>
          <w:lang w:val="es-AR"/>
        </w:rPr>
        <w:t>vivienda</w:t>
      </w:r>
      <w:r w:rsidR="00C15214" w:rsidRPr="00B83DB6">
        <w:rPr>
          <w:rFonts w:ascii="Calibri" w:hAnsi="Calibri" w:cs="Calibri"/>
          <w:sz w:val="26"/>
          <w:szCs w:val="26"/>
          <w:lang w:val="es-AR"/>
        </w:rPr>
        <w:t>s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FA0B17" w:rsidRPr="00B83DB6">
        <w:rPr>
          <w:rFonts w:ascii="Calibri" w:hAnsi="Calibri" w:cs="Calibri"/>
          <w:sz w:val="26"/>
          <w:szCs w:val="26"/>
          <w:lang w:val="es-AR"/>
        </w:rPr>
        <w:t xml:space="preserve">adquisición de 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vehículos, </w:t>
      </w:r>
      <w:r w:rsidR="002C352C" w:rsidRPr="00B83DB6">
        <w:rPr>
          <w:rFonts w:ascii="Calibri" w:hAnsi="Calibri" w:cs="Calibri"/>
          <w:sz w:val="26"/>
          <w:szCs w:val="26"/>
          <w:lang w:val="es-AR"/>
        </w:rPr>
        <w:t>a la compra de equipos domésticos</w:t>
      </w:r>
      <w:r w:rsidR="00565239" w:rsidRPr="00B83DB6">
        <w:rPr>
          <w:rFonts w:ascii="Calibri" w:hAnsi="Calibri" w:cs="Calibri"/>
          <w:sz w:val="26"/>
          <w:szCs w:val="26"/>
          <w:lang w:val="es-AR"/>
        </w:rPr>
        <w:t xml:space="preserve"> y 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entre otros.  </w:t>
      </w:r>
    </w:p>
    <w:p w14:paraId="1AB362AA" w14:textId="77777777" w:rsidR="009747B8" w:rsidRPr="00B83DB6" w:rsidRDefault="009747B8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0D24A6E" w14:textId="1570F4FC" w:rsidR="000035A7" w:rsidRPr="00B83DB6" w:rsidRDefault="00A94555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  <w:r w:rsidRPr="00B83DB6">
        <w:rPr>
          <w:rFonts w:ascii="Calibri" w:hAnsi="Calibri" w:cs="Calibri"/>
          <w:sz w:val="26"/>
          <w:szCs w:val="26"/>
          <w:lang w:val="es-AR"/>
        </w:rPr>
        <w:t>Un análisis de la</w:t>
      </w:r>
      <w:r w:rsidR="00F04571" w:rsidRPr="00B83DB6">
        <w:rPr>
          <w:rFonts w:ascii="Calibri" w:hAnsi="Calibri" w:cs="Calibri"/>
          <w:sz w:val="26"/>
          <w:szCs w:val="26"/>
          <w:lang w:val="es-AR"/>
        </w:rPr>
        <w:t xml:space="preserve"> ABA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, que toma </w:t>
      </w:r>
      <w:r w:rsidR="00B83DB6" w:rsidRPr="00B83DB6">
        <w:rPr>
          <w:rFonts w:ascii="Calibri" w:hAnsi="Calibri" w:cs="Calibri"/>
          <w:sz w:val="26"/>
          <w:szCs w:val="26"/>
          <w:lang w:val="es-AR"/>
        </w:rPr>
        <w:t>como referencia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 estadísticas d</w:t>
      </w:r>
      <w:r w:rsidR="00DD5C8B">
        <w:rPr>
          <w:rFonts w:ascii="Calibri" w:hAnsi="Calibri" w:cs="Calibri"/>
          <w:sz w:val="26"/>
          <w:szCs w:val="26"/>
          <w:lang w:val="es-AR"/>
        </w:rPr>
        <w:t>e</w:t>
      </w:r>
      <w:r w:rsidRPr="00B83DB6">
        <w:rPr>
          <w:rFonts w:ascii="Calibri" w:hAnsi="Calibri" w:cs="Calibri"/>
          <w:sz w:val="26"/>
          <w:szCs w:val="26"/>
          <w:lang w:val="es-AR"/>
        </w:rPr>
        <w:t xml:space="preserve"> la Superintendencia de Bancos,</w:t>
      </w:r>
      <w:r w:rsidR="00F04571" w:rsidRPr="00B83DB6">
        <w:rPr>
          <w:rFonts w:ascii="Calibri" w:hAnsi="Calibri" w:cs="Calibri"/>
          <w:sz w:val="26"/>
          <w:szCs w:val="26"/>
          <w:lang w:val="es-AR"/>
        </w:rPr>
        <w:t xml:space="preserve"> precisó que el 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>índice de morosidad se ubic</w:t>
      </w:r>
      <w:r w:rsidR="00F04571" w:rsidRPr="00B83DB6">
        <w:rPr>
          <w:rFonts w:ascii="Calibri" w:hAnsi="Calibri" w:cs="Calibri"/>
          <w:sz w:val="26"/>
          <w:szCs w:val="26"/>
          <w:lang w:val="es-AR"/>
        </w:rPr>
        <w:t>ó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en apenas 1.4% a diciembre 2024. </w:t>
      </w:r>
      <w:r w:rsidR="00A63B44" w:rsidRPr="00B83DB6">
        <w:rPr>
          <w:rFonts w:ascii="Calibri" w:hAnsi="Calibri" w:cs="Calibri"/>
          <w:sz w:val="26"/>
          <w:szCs w:val="26"/>
          <w:lang w:val="es-AR"/>
        </w:rPr>
        <w:t>Indicó</w:t>
      </w:r>
      <w:r w:rsidR="00C34D76" w:rsidRPr="00B83DB6">
        <w:rPr>
          <w:rFonts w:ascii="Calibri" w:hAnsi="Calibri" w:cs="Calibri"/>
          <w:sz w:val="26"/>
          <w:szCs w:val="26"/>
          <w:lang w:val="es-AR"/>
        </w:rPr>
        <w:t xml:space="preserve"> que el sector </w:t>
      </w:r>
      <w:r w:rsidR="00633E67" w:rsidRPr="00B83DB6">
        <w:rPr>
          <w:rFonts w:ascii="Calibri" w:hAnsi="Calibri" w:cs="Calibri"/>
          <w:sz w:val="26"/>
          <w:szCs w:val="26"/>
          <w:lang w:val="es-AR"/>
        </w:rPr>
        <w:t xml:space="preserve">bancario </w:t>
      </w:r>
      <w:r w:rsidR="00C34D76" w:rsidRPr="00B83DB6">
        <w:rPr>
          <w:rFonts w:ascii="Calibri" w:hAnsi="Calibri" w:cs="Calibri"/>
          <w:sz w:val="26"/>
          <w:szCs w:val="26"/>
          <w:lang w:val="es-AR"/>
        </w:rPr>
        <w:t xml:space="preserve">mantiene </w:t>
      </w:r>
      <w:r w:rsidR="006359B1" w:rsidRPr="00B83DB6">
        <w:rPr>
          <w:rFonts w:ascii="Calibri" w:hAnsi="Calibri" w:cs="Calibri"/>
          <w:sz w:val="26"/>
          <w:szCs w:val="26"/>
          <w:lang w:val="es-AR"/>
        </w:rPr>
        <w:t xml:space="preserve">excelentes </w:t>
      </w:r>
      <w:r w:rsidR="005D12AA" w:rsidRPr="00B83DB6">
        <w:rPr>
          <w:rFonts w:ascii="Calibri" w:hAnsi="Calibri" w:cs="Calibri"/>
          <w:sz w:val="26"/>
          <w:szCs w:val="26"/>
          <w:lang w:val="es-AR"/>
        </w:rPr>
        <w:t xml:space="preserve">niveles de 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>solvencia</w:t>
      </w:r>
      <w:r w:rsidR="004C637B" w:rsidRPr="00B83DB6">
        <w:rPr>
          <w:rFonts w:ascii="Calibri" w:hAnsi="Calibri" w:cs="Calibri"/>
          <w:sz w:val="26"/>
          <w:szCs w:val="26"/>
          <w:lang w:val="es-AR"/>
        </w:rPr>
        <w:t>,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índice </w:t>
      </w:r>
      <w:r w:rsidR="005D12AA" w:rsidRPr="00B83DB6">
        <w:rPr>
          <w:rFonts w:ascii="Calibri" w:hAnsi="Calibri" w:cs="Calibri"/>
          <w:sz w:val="26"/>
          <w:szCs w:val="26"/>
          <w:lang w:val="es-AR"/>
        </w:rPr>
        <w:t>que concluyó el período en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1</w:t>
      </w:r>
      <w:r w:rsidR="00DD5C8B">
        <w:rPr>
          <w:rFonts w:ascii="Calibri" w:hAnsi="Calibri" w:cs="Calibri"/>
          <w:sz w:val="26"/>
          <w:szCs w:val="26"/>
          <w:lang w:val="es-AR"/>
        </w:rPr>
        <w:t>5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>.</w:t>
      </w:r>
      <w:r w:rsidR="00DD5C8B">
        <w:rPr>
          <w:rFonts w:ascii="Calibri" w:hAnsi="Calibri" w:cs="Calibri"/>
          <w:sz w:val="26"/>
          <w:szCs w:val="26"/>
          <w:lang w:val="es-AR"/>
        </w:rPr>
        <w:t>9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>%, super</w:t>
      </w:r>
      <w:r w:rsidR="00633E67" w:rsidRPr="00B83DB6">
        <w:rPr>
          <w:rFonts w:ascii="Calibri" w:hAnsi="Calibri" w:cs="Calibri"/>
          <w:sz w:val="26"/>
          <w:szCs w:val="26"/>
          <w:lang w:val="es-AR"/>
        </w:rPr>
        <w:t>ando así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al 10% </w:t>
      </w:r>
      <w:r w:rsidR="00702AA0" w:rsidRPr="00B83DB6">
        <w:rPr>
          <w:rFonts w:ascii="Calibri" w:hAnsi="Calibri" w:cs="Calibri"/>
          <w:sz w:val="26"/>
          <w:szCs w:val="26"/>
          <w:lang w:val="es-AR"/>
        </w:rPr>
        <w:t>que requiere la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Ley</w:t>
      </w:r>
      <w:r w:rsidR="00702AA0" w:rsidRPr="00B83DB6">
        <w:rPr>
          <w:rFonts w:ascii="Calibri" w:hAnsi="Calibri" w:cs="Calibri"/>
          <w:sz w:val="26"/>
          <w:szCs w:val="26"/>
          <w:lang w:val="es-AR"/>
        </w:rPr>
        <w:t xml:space="preserve">, lo que evidencia </w:t>
      </w:r>
      <w:r w:rsidR="00B153E9">
        <w:rPr>
          <w:rFonts w:ascii="Calibri" w:hAnsi="Calibri" w:cs="Calibri"/>
          <w:sz w:val="26"/>
          <w:szCs w:val="26"/>
          <w:lang w:val="es-AR"/>
        </w:rPr>
        <w:t>un</w:t>
      </w:r>
      <w:r w:rsidR="000035A7" w:rsidRPr="00B83DB6">
        <w:rPr>
          <w:rFonts w:ascii="Calibri" w:hAnsi="Calibri" w:cs="Calibri"/>
          <w:sz w:val="26"/>
          <w:szCs w:val="26"/>
          <w:lang w:val="es-AR"/>
        </w:rPr>
        <w:t xml:space="preserve"> sistema financiero saludable, robusto y sustentado en recursos patrimoniales propios.</w:t>
      </w:r>
    </w:p>
    <w:p w14:paraId="16BF1A6C" w14:textId="77777777" w:rsidR="00433DB8" w:rsidRPr="00B83DB6" w:rsidRDefault="00433DB8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10016FC3" w14:textId="6FA4934F" w:rsidR="00020D3C" w:rsidRDefault="0080171D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B83DB6">
        <w:rPr>
          <w:rFonts w:ascii="Calibri" w:hAnsi="Calibri" w:cs="Calibri"/>
          <w:sz w:val="26"/>
          <w:szCs w:val="26"/>
          <w:lang w:val="es-DO"/>
        </w:rPr>
        <w:t xml:space="preserve">Por otro lado, </w:t>
      </w:r>
      <w:r w:rsidR="006359B1" w:rsidRPr="00B83DB6">
        <w:rPr>
          <w:rFonts w:ascii="Calibri" w:hAnsi="Calibri" w:cs="Calibri"/>
          <w:sz w:val="26"/>
          <w:szCs w:val="26"/>
          <w:lang w:val="es-DO"/>
        </w:rPr>
        <w:t xml:space="preserve">la ABA informó </w:t>
      </w:r>
      <w:r w:rsidRPr="00B83DB6">
        <w:rPr>
          <w:rFonts w:ascii="Calibri" w:hAnsi="Calibri" w:cs="Calibri"/>
          <w:sz w:val="26"/>
          <w:szCs w:val="26"/>
          <w:lang w:val="es-DO"/>
        </w:rPr>
        <w:t>que las reducciones en la tasa de política monetaria</w:t>
      </w:r>
      <w:r w:rsidR="00A2278B" w:rsidRPr="00B83DB6">
        <w:rPr>
          <w:rFonts w:ascii="Calibri" w:hAnsi="Calibri" w:cs="Calibri"/>
          <w:sz w:val="26"/>
          <w:szCs w:val="26"/>
          <w:lang w:val="es-DO"/>
        </w:rPr>
        <w:t xml:space="preserve"> (TPM)</w:t>
      </w:r>
      <w:r w:rsidRPr="00B83DB6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6359B1" w:rsidRPr="00B83DB6">
        <w:rPr>
          <w:rFonts w:ascii="Calibri" w:hAnsi="Calibri" w:cs="Calibri"/>
          <w:sz w:val="26"/>
          <w:szCs w:val="26"/>
          <w:lang w:val="es-DO"/>
        </w:rPr>
        <w:t xml:space="preserve">implementadas por el Banco Central </w:t>
      </w:r>
      <w:r w:rsidRPr="00B83DB6">
        <w:rPr>
          <w:rFonts w:ascii="Calibri" w:hAnsi="Calibri" w:cs="Calibri"/>
          <w:sz w:val="26"/>
          <w:szCs w:val="26"/>
          <w:lang w:val="es-DO"/>
        </w:rPr>
        <w:t xml:space="preserve">ya </w:t>
      </w:r>
      <w:r w:rsidR="00046D61" w:rsidRPr="00B83DB6">
        <w:rPr>
          <w:rFonts w:ascii="Calibri" w:hAnsi="Calibri" w:cs="Calibri"/>
          <w:sz w:val="26"/>
          <w:szCs w:val="26"/>
          <w:lang w:val="es-DO"/>
        </w:rPr>
        <w:t>está</w:t>
      </w:r>
      <w:r w:rsidR="00413C69">
        <w:rPr>
          <w:rFonts w:ascii="Calibri" w:hAnsi="Calibri" w:cs="Calibri"/>
          <w:sz w:val="26"/>
          <w:szCs w:val="26"/>
          <w:lang w:val="es-DO"/>
        </w:rPr>
        <w:t>n</w:t>
      </w:r>
      <w:r w:rsidR="00046D61" w:rsidRPr="00B83DB6">
        <w:rPr>
          <w:rFonts w:ascii="Calibri" w:hAnsi="Calibri" w:cs="Calibri"/>
          <w:sz w:val="26"/>
          <w:szCs w:val="26"/>
          <w:lang w:val="es-DO"/>
        </w:rPr>
        <w:t xml:space="preserve"> reflejando</w:t>
      </w:r>
      <w:r w:rsidR="002E302E" w:rsidRPr="00B83DB6">
        <w:rPr>
          <w:rFonts w:ascii="Calibri" w:hAnsi="Calibri" w:cs="Calibri"/>
          <w:sz w:val="26"/>
          <w:szCs w:val="26"/>
          <w:lang w:val="es-DO"/>
        </w:rPr>
        <w:t xml:space="preserve"> en las </w:t>
      </w:r>
      <w:r w:rsidR="002253BC" w:rsidRPr="00B83DB6">
        <w:rPr>
          <w:rFonts w:ascii="Calibri" w:hAnsi="Calibri" w:cs="Calibri"/>
          <w:sz w:val="26"/>
          <w:szCs w:val="26"/>
          <w:lang w:val="es-DO"/>
        </w:rPr>
        <w:t>condiciones del</w:t>
      </w:r>
      <w:r w:rsidR="002E302E" w:rsidRPr="00B83DB6">
        <w:rPr>
          <w:rFonts w:ascii="Calibri" w:hAnsi="Calibri" w:cs="Calibri"/>
          <w:sz w:val="26"/>
          <w:szCs w:val="26"/>
          <w:lang w:val="es-DO"/>
        </w:rPr>
        <w:t xml:space="preserve"> mercado, </w:t>
      </w:r>
      <w:r w:rsidR="002253BC" w:rsidRPr="00B83DB6">
        <w:rPr>
          <w:rFonts w:ascii="Calibri" w:hAnsi="Calibri" w:cs="Calibri"/>
          <w:sz w:val="26"/>
          <w:szCs w:val="26"/>
          <w:lang w:val="es-DO"/>
        </w:rPr>
        <w:t xml:space="preserve">cuya tasa </w:t>
      </w:r>
      <w:r w:rsidR="00A2278B" w:rsidRPr="00B83DB6">
        <w:rPr>
          <w:rFonts w:ascii="Calibri" w:hAnsi="Calibri" w:cs="Calibri"/>
          <w:sz w:val="26"/>
          <w:szCs w:val="26"/>
          <w:lang w:val="es-DO"/>
        </w:rPr>
        <w:t xml:space="preserve">activa </w:t>
      </w:r>
      <w:r w:rsidR="002253BC" w:rsidRPr="00B83DB6">
        <w:rPr>
          <w:rFonts w:ascii="Calibri" w:hAnsi="Calibri" w:cs="Calibri"/>
          <w:sz w:val="26"/>
          <w:szCs w:val="26"/>
          <w:lang w:val="es-DO"/>
        </w:rPr>
        <w:t xml:space="preserve">promedio ponderada (TAPP) se redujo </w:t>
      </w:r>
      <w:r w:rsidR="00A2278B" w:rsidRPr="00B83DB6">
        <w:rPr>
          <w:rFonts w:ascii="Calibri" w:hAnsi="Calibri" w:cs="Calibri"/>
          <w:sz w:val="26"/>
          <w:szCs w:val="26"/>
          <w:lang w:val="es-DO"/>
        </w:rPr>
        <w:t xml:space="preserve">aproximadamente en 100 </w:t>
      </w:r>
      <w:r w:rsidR="00464A32" w:rsidRPr="00B83DB6">
        <w:rPr>
          <w:rFonts w:ascii="Calibri" w:hAnsi="Calibri" w:cs="Calibri"/>
          <w:sz w:val="26"/>
          <w:szCs w:val="26"/>
          <w:lang w:val="es-DO"/>
        </w:rPr>
        <w:t>puntos básicos</w:t>
      </w:r>
      <w:r w:rsidR="00046D61" w:rsidRPr="00B83DB6">
        <w:rPr>
          <w:rFonts w:ascii="Calibri" w:hAnsi="Calibri" w:cs="Calibri"/>
          <w:sz w:val="26"/>
          <w:szCs w:val="26"/>
          <w:lang w:val="es-DO"/>
        </w:rPr>
        <w:t xml:space="preserve"> entre noviembre y diciembre de 2024.</w:t>
      </w:r>
    </w:p>
    <w:p w14:paraId="12A96BAF" w14:textId="77777777" w:rsidR="00C46223" w:rsidRDefault="00C46223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A47C5F8" w14:textId="64EB1E84" w:rsidR="00C46223" w:rsidRPr="00C46223" w:rsidRDefault="00C46223" w:rsidP="00C46223">
      <w:pPr>
        <w:pStyle w:val="Sinespaciado"/>
        <w:jc w:val="both"/>
        <w:textDirection w:val="btLr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Finalmente, el gremio bancario manifestó su interés de continuar</w:t>
      </w:r>
      <w:r w:rsidRPr="00C46223">
        <w:rPr>
          <w:rFonts w:ascii="Calibri" w:hAnsi="Calibri" w:cs="Calibri"/>
          <w:sz w:val="26"/>
          <w:szCs w:val="26"/>
          <w:lang w:val="es-DO"/>
        </w:rPr>
        <w:t xml:space="preserve"> trabajando </w:t>
      </w:r>
      <w:r>
        <w:rPr>
          <w:rFonts w:ascii="Calibri" w:hAnsi="Calibri" w:cs="Calibri"/>
          <w:sz w:val="26"/>
          <w:szCs w:val="26"/>
          <w:lang w:val="es-DO"/>
        </w:rPr>
        <w:t>para</w:t>
      </w:r>
      <w:r w:rsidRPr="00C46223">
        <w:rPr>
          <w:rFonts w:ascii="Calibri" w:hAnsi="Calibri" w:cs="Calibri"/>
          <w:sz w:val="26"/>
          <w:szCs w:val="26"/>
          <w:lang w:val="es-DO"/>
        </w:rPr>
        <w:t xml:space="preserve"> que el sector continue siendo un canal eficiente de transmisión de la política monetaria y que</w:t>
      </w:r>
      <w:r>
        <w:rPr>
          <w:rFonts w:ascii="Calibri" w:hAnsi="Calibri" w:cs="Calibri"/>
          <w:sz w:val="26"/>
          <w:szCs w:val="26"/>
          <w:lang w:val="es-DO"/>
        </w:rPr>
        <w:t xml:space="preserve"> siga</w:t>
      </w:r>
      <w:r w:rsidRPr="00C46223">
        <w:rPr>
          <w:rFonts w:ascii="Calibri" w:hAnsi="Calibri" w:cs="Calibri"/>
          <w:sz w:val="26"/>
          <w:szCs w:val="26"/>
          <w:lang w:val="es-DO"/>
        </w:rPr>
        <w:t xml:space="preserve"> desempeñando </w:t>
      </w:r>
      <w:r w:rsidR="006F3F8A">
        <w:rPr>
          <w:rFonts w:ascii="Calibri" w:hAnsi="Calibri" w:cs="Calibri"/>
          <w:sz w:val="26"/>
          <w:szCs w:val="26"/>
          <w:lang w:val="es-DO"/>
        </w:rPr>
        <w:t xml:space="preserve">de forma eficiente </w:t>
      </w:r>
      <w:r w:rsidRPr="00C46223">
        <w:rPr>
          <w:rFonts w:ascii="Calibri" w:hAnsi="Calibri" w:cs="Calibri"/>
          <w:sz w:val="26"/>
          <w:szCs w:val="26"/>
          <w:lang w:val="es-DO"/>
        </w:rPr>
        <w:t>su rol de intermediación financiera, apoyando la actividad económica</w:t>
      </w:r>
      <w:r w:rsidR="006F3F8A">
        <w:rPr>
          <w:rFonts w:ascii="Calibri" w:hAnsi="Calibri" w:cs="Calibri"/>
          <w:sz w:val="26"/>
          <w:szCs w:val="26"/>
          <w:lang w:val="es-DO"/>
        </w:rPr>
        <w:t xml:space="preserve">, </w:t>
      </w:r>
      <w:r w:rsidRPr="00C46223">
        <w:rPr>
          <w:rFonts w:ascii="Calibri" w:hAnsi="Calibri" w:cs="Calibri"/>
          <w:sz w:val="26"/>
          <w:szCs w:val="26"/>
          <w:lang w:val="es-DO"/>
        </w:rPr>
        <w:t xml:space="preserve"> el empleo</w:t>
      </w:r>
      <w:r w:rsidR="006F3F8A">
        <w:rPr>
          <w:rFonts w:ascii="Calibri" w:hAnsi="Calibri" w:cs="Calibri"/>
          <w:sz w:val="26"/>
          <w:szCs w:val="26"/>
          <w:lang w:val="es-DO"/>
        </w:rPr>
        <w:t xml:space="preserve"> y, por ende, el bienestar de la ciudadanía.</w:t>
      </w:r>
    </w:p>
    <w:p w14:paraId="4F67C044" w14:textId="77777777" w:rsidR="00C46223" w:rsidRPr="00C46223" w:rsidRDefault="00C46223" w:rsidP="000F5A9D">
      <w:pPr>
        <w:pStyle w:val="Sinespaciado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01B9980A" w14:textId="77777777" w:rsidR="006359B1" w:rsidRPr="00B83DB6" w:rsidRDefault="006359B1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194BAE0" w14:textId="3C3DC9BF" w:rsidR="00907443" w:rsidRPr="00B83DB6" w:rsidRDefault="00D832B4" w:rsidP="00020D3C">
      <w:pPr>
        <w:pStyle w:val="Sinespaciado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B83DB6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4AEC375C" w14:textId="4AD34898" w:rsidR="00046D61" w:rsidRPr="00B83DB6" w:rsidRDefault="00300538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29</w:t>
      </w:r>
      <w:r w:rsidR="00046D61" w:rsidRPr="00B83DB6">
        <w:rPr>
          <w:rFonts w:ascii="Calibri" w:hAnsi="Calibri" w:cs="Calibri"/>
          <w:sz w:val="26"/>
          <w:szCs w:val="26"/>
          <w:lang w:val="es-DO"/>
        </w:rPr>
        <w:t xml:space="preserve"> de enero de 2025</w:t>
      </w:r>
    </w:p>
    <w:p w14:paraId="02AB013F" w14:textId="77777777" w:rsidR="00D832B4" w:rsidRPr="00B83DB6" w:rsidRDefault="00D832B4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75E7E2E" w14:textId="77777777" w:rsidR="00464A32" w:rsidRPr="007F57EC" w:rsidRDefault="00464A32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464A32" w:rsidRPr="007F5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F1F1" w14:textId="77777777" w:rsidR="00CF413D" w:rsidRDefault="00CF413D">
      <w:pPr>
        <w:spacing w:line="240" w:lineRule="auto"/>
        <w:ind w:left="0" w:hanging="2"/>
      </w:pPr>
      <w:r>
        <w:separator/>
      </w:r>
    </w:p>
  </w:endnote>
  <w:endnote w:type="continuationSeparator" w:id="0">
    <w:p w14:paraId="3051311E" w14:textId="77777777" w:rsidR="00CF413D" w:rsidRDefault="00CF413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3027A5F" w14:textId="77777777" w:rsidR="00CF413D" w:rsidRDefault="00CF413D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2E47" w14:textId="77777777" w:rsidR="00CF413D" w:rsidRDefault="00CF41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F852E79" w14:textId="77777777" w:rsidR="00CF413D" w:rsidRDefault="00CF413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D5C1429" w14:textId="77777777" w:rsidR="00CF413D" w:rsidRDefault="00CF413D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7"/>
  </w:num>
  <w:num w:numId="3" w16cid:durableId="772701618">
    <w:abstractNumId w:val="13"/>
  </w:num>
  <w:num w:numId="4" w16cid:durableId="2010476688">
    <w:abstractNumId w:val="5"/>
  </w:num>
  <w:num w:numId="5" w16cid:durableId="1146316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4"/>
  </w:num>
  <w:num w:numId="7" w16cid:durableId="83647374">
    <w:abstractNumId w:val="29"/>
  </w:num>
  <w:num w:numId="8" w16cid:durableId="2126650668">
    <w:abstractNumId w:val="8"/>
  </w:num>
  <w:num w:numId="9" w16cid:durableId="1354262142">
    <w:abstractNumId w:val="26"/>
  </w:num>
  <w:num w:numId="10" w16cid:durableId="1933463512">
    <w:abstractNumId w:val="28"/>
  </w:num>
  <w:num w:numId="11" w16cid:durableId="2117867070">
    <w:abstractNumId w:val="20"/>
  </w:num>
  <w:num w:numId="12" w16cid:durableId="988246475">
    <w:abstractNumId w:val="0"/>
  </w:num>
  <w:num w:numId="13" w16cid:durableId="1724716373">
    <w:abstractNumId w:val="17"/>
  </w:num>
  <w:num w:numId="14" w16cid:durableId="1118446550">
    <w:abstractNumId w:val="39"/>
  </w:num>
  <w:num w:numId="15" w16cid:durableId="810904128">
    <w:abstractNumId w:val="4"/>
  </w:num>
  <w:num w:numId="16" w16cid:durableId="1204368730">
    <w:abstractNumId w:val="27"/>
  </w:num>
  <w:num w:numId="17" w16cid:durableId="455803551">
    <w:abstractNumId w:val="32"/>
  </w:num>
  <w:num w:numId="18" w16cid:durableId="1682972276">
    <w:abstractNumId w:val="21"/>
  </w:num>
  <w:num w:numId="19" w16cid:durableId="918513904">
    <w:abstractNumId w:val="2"/>
  </w:num>
  <w:num w:numId="20" w16cid:durableId="371658549">
    <w:abstractNumId w:val="9"/>
  </w:num>
  <w:num w:numId="21" w16cid:durableId="1996566096">
    <w:abstractNumId w:val="30"/>
  </w:num>
  <w:num w:numId="22" w16cid:durableId="712770755">
    <w:abstractNumId w:val="7"/>
  </w:num>
  <w:num w:numId="23" w16cid:durableId="480999472">
    <w:abstractNumId w:val="11"/>
  </w:num>
  <w:num w:numId="24" w16cid:durableId="1311599066">
    <w:abstractNumId w:val="35"/>
  </w:num>
  <w:num w:numId="25" w16cid:durableId="769157227">
    <w:abstractNumId w:val="15"/>
  </w:num>
  <w:num w:numId="26" w16cid:durableId="2141879641">
    <w:abstractNumId w:val="12"/>
  </w:num>
  <w:num w:numId="27" w16cid:durableId="1558543570">
    <w:abstractNumId w:val="23"/>
  </w:num>
  <w:num w:numId="28" w16cid:durableId="555090305">
    <w:abstractNumId w:val="34"/>
  </w:num>
  <w:num w:numId="29" w16cid:durableId="179046926">
    <w:abstractNumId w:val="18"/>
  </w:num>
  <w:num w:numId="30" w16cid:durableId="473958173">
    <w:abstractNumId w:val="16"/>
  </w:num>
  <w:num w:numId="31" w16cid:durableId="2079865103">
    <w:abstractNumId w:val="38"/>
  </w:num>
  <w:num w:numId="32" w16cid:durableId="163396264">
    <w:abstractNumId w:val="6"/>
  </w:num>
  <w:num w:numId="33" w16cid:durableId="527716262">
    <w:abstractNumId w:val="31"/>
  </w:num>
  <w:num w:numId="34" w16cid:durableId="1134718868">
    <w:abstractNumId w:val="33"/>
  </w:num>
  <w:num w:numId="35" w16cid:durableId="1076971479">
    <w:abstractNumId w:val="22"/>
  </w:num>
  <w:num w:numId="36" w16cid:durableId="980769725">
    <w:abstractNumId w:val="24"/>
  </w:num>
  <w:num w:numId="37" w16cid:durableId="1756128910">
    <w:abstractNumId w:val="19"/>
  </w:num>
  <w:num w:numId="38" w16cid:durableId="239415883">
    <w:abstractNumId w:val="3"/>
  </w:num>
  <w:num w:numId="39" w16cid:durableId="412508512">
    <w:abstractNumId w:val="10"/>
  </w:num>
  <w:num w:numId="40" w16cid:durableId="6617831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940"/>
    <w:rsid w:val="00003AA5"/>
    <w:rsid w:val="00004141"/>
    <w:rsid w:val="00004E68"/>
    <w:rsid w:val="00005379"/>
    <w:rsid w:val="00005680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4F0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6D61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09B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A9D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39A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32D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CD7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411A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3BC"/>
    <w:rsid w:val="00225709"/>
    <w:rsid w:val="00225A4F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3772C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5F2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87DD4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0CB"/>
    <w:rsid w:val="002C2566"/>
    <w:rsid w:val="002C3333"/>
    <w:rsid w:val="002C352C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174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02E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0538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C69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70C2"/>
    <w:rsid w:val="0043742E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020E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5E1F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A32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240A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31"/>
    <w:rsid w:val="00490CE7"/>
    <w:rsid w:val="00493091"/>
    <w:rsid w:val="00493616"/>
    <w:rsid w:val="00493664"/>
    <w:rsid w:val="0049392A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6B2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637B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036"/>
    <w:rsid w:val="00527617"/>
    <w:rsid w:val="00527861"/>
    <w:rsid w:val="00530332"/>
    <w:rsid w:val="00530473"/>
    <w:rsid w:val="005309F2"/>
    <w:rsid w:val="005311F7"/>
    <w:rsid w:val="00531476"/>
    <w:rsid w:val="00531665"/>
    <w:rsid w:val="00531DA3"/>
    <w:rsid w:val="005328DB"/>
    <w:rsid w:val="005337C2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0BA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2AA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45D"/>
    <w:rsid w:val="005E3540"/>
    <w:rsid w:val="005E3C1A"/>
    <w:rsid w:val="005E3C93"/>
    <w:rsid w:val="005E3E5A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0731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3E67"/>
    <w:rsid w:val="00634EDD"/>
    <w:rsid w:val="0063514D"/>
    <w:rsid w:val="00635397"/>
    <w:rsid w:val="0063597C"/>
    <w:rsid w:val="006359B1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0DC5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EFC"/>
    <w:rsid w:val="006B6168"/>
    <w:rsid w:val="006B77A5"/>
    <w:rsid w:val="006B78E1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F8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2AA0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45"/>
    <w:rsid w:val="00712208"/>
    <w:rsid w:val="0071230D"/>
    <w:rsid w:val="007126D6"/>
    <w:rsid w:val="007127C2"/>
    <w:rsid w:val="00714293"/>
    <w:rsid w:val="00716C58"/>
    <w:rsid w:val="007173B5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C73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0A21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7EC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71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D93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0B77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0744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17DA7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80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E70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BD9"/>
    <w:rsid w:val="009D755E"/>
    <w:rsid w:val="009D789B"/>
    <w:rsid w:val="009D7971"/>
    <w:rsid w:val="009E0525"/>
    <w:rsid w:val="009E1260"/>
    <w:rsid w:val="009E1AFE"/>
    <w:rsid w:val="009E3631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20C1E"/>
    <w:rsid w:val="00A20F11"/>
    <w:rsid w:val="00A218D6"/>
    <w:rsid w:val="00A21BF5"/>
    <w:rsid w:val="00A222C5"/>
    <w:rsid w:val="00A22603"/>
    <w:rsid w:val="00A2278B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B41"/>
    <w:rsid w:val="00A63B44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555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4B89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3E9"/>
    <w:rsid w:val="00B15D35"/>
    <w:rsid w:val="00B15EB7"/>
    <w:rsid w:val="00B16588"/>
    <w:rsid w:val="00B166BD"/>
    <w:rsid w:val="00B16FF2"/>
    <w:rsid w:val="00B1769B"/>
    <w:rsid w:val="00B17E5C"/>
    <w:rsid w:val="00B2007D"/>
    <w:rsid w:val="00B2017C"/>
    <w:rsid w:val="00B202D6"/>
    <w:rsid w:val="00B20AE2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38F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300"/>
    <w:rsid w:val="00B77FC6"/>
    <w:rsid w:val="00B807B6"/>
    <w:rsid w:val="00B8103F"/>
    <w:rsid w:val="00B81AF3"/>
    <w:rsid w:val="00B82F55"/>
    <w:rsid w:val="00B83118"/>
    <w:rsid w:val="00B836EE"/>
    <w:rsid w:val="00B83C11"/>
    <w:rsid w:val="00B83DB6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5214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4D76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223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37F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128"/>
    <w:rsid w:val="00C83B1A"/>
    <w:rsid w:val="00C83EC5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528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413D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2FB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620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2B4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4B4"/>
    <w:rsid w:val="00DD5908"/>
    <w:rsid w:val="00DD5A31"/>
    <w:rsid w:val="00DD5A34"/>
    <w:rsid w:val="00DD5C8B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5A0A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1680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5D0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B7F67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525"/>
    <w:rsid w:val="00F023A5"/>
    <w:rsid w:val="00F02879"/>
    <w:rsid w:val="00F039C1"/>
    <w:rsid w:val="00F03FCE"/>
    <w:rsid w:val="00F04571"/>
    <w:rsid w:val="00F04C9B"/>
    <w:rsid w:val="00F053C4"/>
    <w:rsid w:val="00F064D0"/>
    <w:rsid w:val="00F0690A"/>
    <w:rsid w:val="00F0715B"/>
    <w:rsid w:val="00F071B8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065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4F28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3</cp:revision>
  <cp:lastPrinted>2025-01-29T16:58:00Z</cp:lastPrinted>
  <dcterms:created xsi:type="dcterms:W3CDTF">2025-01-29T23:27:00Z</dcterms:created>
  <dcterms:modified xsi:type="dcterms:W3CDTF">2025-01-29T23:27:00Z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