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C453" w14:textId="3711325F" w:rsidR="001E32F5" w:rsidRPr="00697DD4" w:rsidRDefault="001E32F5" w:rsidP="001E32F5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36"/>
          <w:szCs w:val="36"/>
          <w:lang w:val="es-ES" w:eastAsia="es-MX"/>
        </w:rPr>
      </w:pPr>
      <w:r w:rsidRPr="00697DD4">
        <w:rPr>
          <w:rFonts w:ascii="Calibri" w:eastAsia="Times New Roman" w:hAnsi="Calibri" w:cs="Calibri"/>
          <w:color w:val="212121"/>
          <w:position w:val="0"/>
          <w:sz w:val="36"/>
          <w:szCs w:val="36"/>
          <w:lang w:val="es-ES" w:eastAsia="es-MX"/>
        </w:rPr>
        <w:t xml:space="preserve">Ejecutivos y aficionados del golf se alistan para la segunda edición del ABA Golf Cup </w:t>
      </w:r>
      <w:r w:rsidR="009D3703" w:rsidRPr="00697DD4">
        <w:rPr>
          <w:rFonts w:ascii="Calibri" w:eastAsia="Times New Roman" w:hAnsi="Calibri" w:cs="Calibri"/>
          <w:color w:val="212121"/>
          <w:position w:val="0"/>
          <w:sz w:val="36"/>
          <w:szCs w:val="36"/>
          <w:lang w:val="es-ES" w:eastAsia="es-MX"/>
        </w:rPr>
        <w:t xml:space="preserve"> </w:t>
      </w:r>
    </w:p>
    <w:p w14:paraId="7460FDB9" w14:textId="3906F505" w:rsidR="00445E21" w:rsidRPr="008E5FF6" w:rsidRDefault="008F254C" w:rsidP="009129C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</w:pPr>
      <w:r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 xml:space="preserve">El </w:t>
      </w:r>
      <w:r w:rsidR="000B16C7"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>evento</w:t>
      </w:r>
      <w:r w:rsidR="001E32F5"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>, organizado por la Asociación de Bancos,</w:t>
      </w:r>
      <w:r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 xml:space="preserve"> se realizará</w:t>
      </w:r>
      <w:r w:rsidR="000B16C7"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 xml:space="preserve"> los días</w:t>
      </w:r>
      <w:r w:rsidR="000F4FA7"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 xml:space="preserve"> 12 y 13 de </w:t>
      </w:r>
      <w:r w:rsidR="000B16C7"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>septiembre e</w:t>
      </w:r>
      <w:r w:rsidR="00B43B2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 xml:space="preserve">n el campo de golf </w:t>
      </w:r>
      <w:r w:rsidR="000B16C7"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>Punta Espada</w:t>
      </w:r>
      <w:r w:rsidR="004D1495"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>, Cap Can</w:t>
      </w:r>
      <w:r w:rsidR="001E32F5" w:rsidRPr="008E5FF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>a</w:t>
      </w:r>
      <w:r w:rsidR="00B43B26">
        <w:rPr>
          <w:rFonts w:ascii="Calibri" w:eastAsia="Times New Roman" w:hAnsi="Calibri" w:cs="Calibri"/>
          <w:i/>
          <w:iCs/>
          <w:color w:val="212121"/>
          <w:position w:val="0"/>
          <w:sz w:val="24"/>
          <w:szCs w:val="24"/>
          <w:lang w:val="es-ES" w:eastAsia="es-MX"/>
        </w:rPr>
        <w:t>, provincia La Altagracia.</w:t>
      </w:r>
    </w:p>
    <w:p w14:paraId="7B8C9F31" w14:textId="021FDFE1" w:rsidR="00493C43" w:rsidRPr="008E5FF6" w:rsidRDefault="00493C43" w:rsidP="009129C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</w:p>
    <w:p w14:paraId="2C571406" w14:textId="73A47240" w:rsidR="001E32F5" w:rsidRPr="008E5FF6" w:rsidRDefault="00493C43" w:rsidP="001E32F5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  <w:r w:rsidRPr="008E5FF6">
        <w:rPr>
          <w:rFonts w:ascii="Calibri" w:eastAsia="Times New Roman" w:hAnsi="Calibri" w:cs="Calibri"/>
          <w:b/>
          <w:bCs/>
          <w:color w:val="212121"/>
          <w:position w:val="0"/>
          <w:sz w:val="24"/>
          <w:szCs w:val="24"/>
          <w:lang w:val="es-ES" w:eastAsia="es-MX"/>
        </w:rPr>
        <w:t>Santo Domingo, Rep. Dom.-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1E32F5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La Asociación de Bancos Múltiples de la República Dominicana (ABA) anunció con entusiasmo la segunda edición del ABA Golf Cup, un exclusivo torneo que se celebrará </w:t>
      </w:r>
      <w:r w:rsidR="00B43B26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viernes</w:t>
      </w:r>
      <w:r w:rsidR="001E32F5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12 y sábado 13 de septiembre en el prestigioso campo Punta Espada, ubicado en Cap Cana, provincia La Altagracia.</w:t>
      </w:r>
    </w:p>
    <w:p w14:paraId="1C410365" w14:textId="77777777" w:rsidR="001E32F5" w:rsidRPr="008E5FF6" w:rsidRDefault="001E32F5" w:rsidP="001E32F5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</w:p>
    <w:p w14:paraId="23A7F33D" w14:textId="77777777" w:rsidR="001E32F5" w:rsidRPr="008E5FF6" w:rsidRDefault="001E32F5" w:rsidP="001E32F5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Este año, el evento duplicará su capacidad con la participación de más de 240 jugadores provenientes de la República Dominicana, Latinoamérica y Estados Unidos, entre ellos altos ejecutivos bancarios, líderes empresariales e invitados especiales del ámbito financiero.</w:t>
      </w:r>
    </w:p>
    <w:p w14:paraId="7D772EA1" w14:textId="77777777" w:rsidR="001E32F5" w:rsidRPr="008E5FF6" w:rsidRDefault="001E32F5" w:rsidP="001E32F5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</w:p>
    <w:p w14:paraId="7D2B2274" w14:textId="748538DE" w:rsidR="001E32F5" w:rsidRPr="008E5FF6" w:rsidRDefault="001E32F5" w:rsidP="008E5FF6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“Luego del éxito de la primera edición, hemos duplicado </w:t>
      </w:r>
      <w:r w:rsidR="00C00E3D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la capacidad y duración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C00E3D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del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torneo para dar oportunidad a más participantes de vivir esta experiencia única”, expresó </w:t>
      </w:r>
      <w:r w:rsidR="00957797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la ABA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.</w:t>
      </w:r>
      <w:r w:rsidR="008E5FF6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BF79C8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Sostuvo que el </w:t>
      </w:r>
      <w:r w:rsidR="008423F1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evento 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busca fomentar las relaciones de negocio en un ambiente relajado y sofisticado, combinando la pasión por el golf con oportunidades de networking en uno de los destinos más espectaculares del Carib</w:t>
      </w:r>
      <w:r w:rsidR="00BF79C8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e.</w:t>
      </w:r>
    </w:p>
    <w:p w14:paraId="173909C6" w14:textId="77777777" w:rsidR="001E32F5" w:rsidRPr="008E5FF6" w:rsidRDefault="001E32F5" w:rsidP="001E32F5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</w:p>
    <w:p w14:paraId="675FBAB2" w14:textId="4FA2FD21" w:rsidR="009D3703" w:rsidRPr="008E5FF6" w:rsidRDefault="001E32F5" w:rsidP="00157AD3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El formato </w:t>
      </w:r>
      <w:r w:rsidR="00FA240F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en que jugarán los golfistas 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será </w:t>
      </w:r>
      <w:proofErr w:type="spellStart"/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Scramble</w:t>
      </w:r>
      <w:proofErr w:type="spellEnd"/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en </w:t>
      </w:r>
      <w:r w:rsidR="00957797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parejas</w:t>
      </w:r>
      <w:r w:rsidR="00957797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, en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tres categorías, y contará con premios especiales, así como una serie de amenidades diseñadas para el disfrute de todos los asistentes</w:t>
      </w:r>
      <w:r w:rsidR="00FA240F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, con el apoyo de Golf View en la organización.</w:t>
      </w:r>
      <w:r w:rsidR="00157AD3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</w:t>
      </w:r>
    </w:p>
    <w:p w14:paraId="73ACB517" w14:textId="77777777" w:rsidR="009D3703" w:rsidRPr="008E5FF6" w:rsidRDefault="009D3703" w:rsidP="00157AD3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</w:p>
    <w:p w14:paraId="74F20A5A" w14:textId="68960895" w:rsidR="001E32F5" w:rsidRPr="008E5FF6" w:rsidRDefault="00957797" w:rsidP="009D3703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Asimismo, la Asociación de Bancos resaltó que e</w:t>
      </w:r>
      <w:r w:rsidR="00FA240F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ste evento promete combinar deporte, estilo y conexión profesional en un entorno inigualable, reafirmando a Cap Cana como uno de los epicentros del golf y el networking en la región. </w:t>
      </w:r>
      <w:r w:rsidR="009D3703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1E32F5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Música, gastronomía, y un ambiente social vibrante serán parte del programa</w:t>
      </w:r>
      <w:r w:rsidR="003F60E2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que incluye un coctel de bienvenida y una fiesta de cierre</w:t>
      </w:r>
      <w:r w:rsidR="001E32F5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, todo en el marco del espectacular campo de golf diseñado por la leyenda Jack Nicklaus.</w:t>
      </w:r>
    </w:p>
    <w:p w14:paraId="651A5A83" w14:textId="77777777" w:rsidR="001E32F5" w:rsidRPr="008E5FF6" w:rsidRDefault="001E32F5" w:rsidP="001E32F5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</w:p>
    <w:p w14:paraId="6EE472EE" w14:textId="1C53B937" w:rsidR="008E5FF6" w:rsidRPr="008E5FF6" w:rsidRDefault="001E32F5" w:rsidP="008E5FF6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“</w:t>
      </w:r>
      <w:r w:rsidR="00936875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Por segundo año consecutivo, el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ABA Golf Cup </w:t>
      </w:r>
      <w:r w:rsidR="00936875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se perfila como </w:t>
      </w:r>
      <w:r w:rsidR="00DB594B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el evento 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más importante y exclusiv</w:t>
      </w:r>
      <w:r w:rsidR="00DB594B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o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de la banca múltiple y </w:t>
      </w:r>
      <w:r w:rsidR="00936875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de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l sector financiero </w:t>
      </w:r>
      <w:r w:rsidR="00C334A5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nacional, </w:t>
      </w:r>
      <w:r w:rsidR="008C7489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ampliando sus horizontes hacia otras naciones</w:t>
      </w:r>
      <w:r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”, expresó la ABA en su comunicado oficial.</w:t>
      </w:r>
    </w:p>
    <w:p w14:paraId="71C2C22B" w14:textId="77777777" w:rsidR="004E47B4" w:rsidRPr="008E5FF6" w:rsidRDefault="004E47B4" w:rsidP="001E32F5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</w:p>
    <w:p w14:paraId="33B6487D" w14:textId="7E941463" w:rsidR="003002D5" w:rsidRPr="008E5FF6" w:rsidRDefault="003002D5" w:rsidP="008E5FF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  <w:r w:rsidRPr="008E5FF6">
        <w:rPr>
          <w:rFonts w:ascii="Calibri" w:eastAsia="Times New Roman" w:hAnsi="Calibri" w:cs="Calibri"/>
          <w:b/>
          <w:bCs/>
          <w:color w:val="212121"/>
          <w:position w:val="0"/>
          <w:sz w:val="24"/>
          <w:szCs w:val="24"/>
          <w:lang w:val="es-ES" w:eastAsia="es-MX"/>
        </w:rPr>
        <w:t>Dirección de Comunicación y Marketin</w:t>
      </w:r>
      <w:r w:rsidR="009C2D0E" w:rsidRPr="008E5FF6">
        <w:rPr>
          <w:rFonts w:ascii="Calibri" w:eastAsia="Times New Roman" w:hAnsi="Calibri" w:cs="Calibri"/>
          <w:b/>
          <w:bCs/>
          <w:color w:val="212121"/>
          <w:position w:val="0"/>
          <w:sz w:val="24"/>
          <w:szCs w:val="24"/>
          <w:lang w:val="es-ES" w:eastAsia="es-MX"/>
        </w:rPr>
        <w:t>g</w:t>
      </w:r>
    </w:p>
    <w:p w14:paraId="2E142BC2" w14:textId="0170593F" w:rsidR="00445E21" w:rsidRPr="008E5FF6" w:rsidRDefault="008C1430" w:rsidP="008E5FF6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</w:pPr>
      <w:r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>08</w:t>
      </w:r>
      <w:r w:rsidR="00157AD3" w:rsidRPr="008E5FF6">
        <w:rPr>
          <w:rFonts w:ascii="Calibri" w:eastAsia="Times New Roman" w:hAnsi="Calibri" w:cs="Calibri"/>
          <w:color w:val="212121"/>
          <w:position w:val="0"/>
          <w:sz w:val="24"/>
          <w:szCs w:val="24"/>
          <w:lang w:val="es-ES" w:eastAsia="es-MX"/>
        </w:rPr>
        <w:t xml:space="preserve"> de julio de 2025</w:t>
      </w:r>
    </w:p>
    <w:sectPr w:rsidR="00445E21" w:rsidRPr="008E5F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565A" w14:textId="77777777" w:rsidR="00D75AE8" w:rsidRDefault="00D75AE8">
      <w:pPr>
        <w:spacing w:line="240" w:lineRule="auto"/>
        <w:ind w:left="0" w:hanging="2"/>
      </w:pPr>
      <w:r>
        <w:separator/>
      </w:r>
    </w:p>
  </w:endnote>
  <w:endnote w:type="continuationSeparator" w:id="0">
    <w:p w14:paraId="162CF0D8" w14:textId="77777777" w:rsidR="00D75AE8" w:rsidRDefault="00D75AE8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2242BDC" w14:textId="77777777" w:rsidR="00D75AE8" w:rsidRDefault="00D75AE8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42B3" w14:textId="77777777" w:rsidR="00D75AE8" w:rsidRDefault="00D75AE8">
      <w:pPr>
        <w:spacing w:line="240" w:lineRule="auto"/>
        <w:ind w:left="0" w:hanging="2"/>
      </w:pPr>
      <w:r>
        <w:separator/>
      </w:r>
    </w:p>
  </w:footnote>
  <w:footnote w:type="continuationSeparator" w:id="0">
    <w:p w14:paraId="15240804" w14:textId="77777777" w:rsidR="00D75AE8" w:rsidRDefault="00D75AE8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172875FA" w14:textId="77777777" w:rsidR="00D75AE8" w:rsidRDefault="00D75AE8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F97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6C7"/>
    <w:rsid w:val="000B1CD6"/>
    <w:rsid w:val="000B2CE7"/>
    <w:rsid w:val="000B3903"/>
    <w:rsid w:val="000B3A45"/>
    <w:rsid w:val="000B3DA0"/>
    <w:rsid w:val="000B564A"/>
    <w:rsid w:val="000B6EB8"/>
    <w:rsid w:val="000B7210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4FA7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20AE"/>
    <w:rsid w:val="00102104"/>
    <w:rsid w:val="0010369E"/>
    <w:rsid w:val="001039CA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D1A"/>
    <w:rsid w:val="001234EC"/>
    <w:rsid w:val="00123ADA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5451"/>
    <w:rsid w:val="00155BFC"/>
    <w:rsid w:val="00156841"/>
    <w:rsid w:val="0015754E"/>
    <w:rsid w:val="00157823"/>
    <w:rsid w:val="00157AD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40EF"/>
    <w:rsid w:val="001D428F"/>
    <w:rsid w:val="001D59A0"/>
    <w:rsid w:val="001D78A4"/>
    <w:rsid w:val="001D7912"/>
    <w:rsid w:val="001E2EE8"/>
    <w:rsid w:val="001E2FFC"/>
    <w:rsid w:val="001E32F5"/>
    <w:rsid w:val="001E35FE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71CE"/>
    <w:rsid w:val="002371F4"/>
    <w:rsid w:val="002372F3"/>
    <w:rsid w:val="00237604"/>
    <w:rsid w:val="0024171E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3D1"/>
    <w:rsid w:val="0025743C"/>
    <w:rsid w:val="00257C4D"/>
    <w:rsid w:val="0026074F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FED"/>
    <w:rsid w:val="002716D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325F"/>
    <w:rsid w:val="00283969"/>
    <w:rsid w:val="002839E5"/>
    <w:rsid w:val="00283CFA"/>
    <w:rsid w:val="00283D3C"/>
    <w:rsid w:val="00283FCB"/>
    <w:rsid w:val="00284530"/>
    <w:rsid w:val="00284C68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157"/>
    <w:rsid w:val="002D07F0"/>
    <w:rsid w:val="002D0B30"/>
    <w:rsid w:val="002D1DC7"/>
    <w:rsid w:val="002D27D4"/>
    <w:rsid w:val="002D3B65"/>
    <w:rsid w:val="002D3F59"/>
    <w:rsid w:val="002D44F7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334"/>
    <w:rsid w:val="00356BB7"/>
    <w:rsid w:val="00360047"/>
    <w:rsid w:val="00361119"/>
    <w:rsid w:val="00361590"/>
    <w:rsid w:val="003616FE"/>
    <w:rsid w:val="00363492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A069F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0E2"/>
    <w:rsid w:val="003F64A4"/>
    <w:rsid w:val="003F6996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5E21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D7A"/>
    <w:rsid w:val="0047308C"/>
    <w:rsid w:val="0047369B"/>
    <w:rsid w:val="00473A3B"/>
    <w:rsid w:val="00473F7A"/>
    <w:rsid w:val="0047429D"/>
    <w:rsid w:val="004748A6"/>
    <w:rsid w:val="00474F25"/>
    <w:rsid w:val="00477A84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4677"/>
    <w:rsid w:val="00494EAF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732"/>
    <w:rsid w:val="004C7A86"/>
    <w:rsid w:val="004C7C8C"/>
    <w:rsid w:val="004C7D47"/>
    <w:rsid w:val="004D0593"/>
    <w:rsid w:val="004D1495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31D5"/>
    <w:rsid w:val="004E4627"/>
    <w:rsid w:val="004E47B4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3907"/>
    <w:rsid w:val="00505221"/>
    <w:rsid w:val="00506A23"/>
    <w:rsid w:val="0051016D"/>
    <w:rsid w:val="00510EE5"/>
    <w:rsid w:val="005110E6"/>
    <w:rsid w:val="00511771"/>
    <w:rsid w:val="00511EE7"/>
    <w:rsid w:val="0051279A"/>
    <w:rsid w:val="005138C2"/>
    <w:rsid w:val="0051396A"/>
    <w:rsid w:val="00514631"/>
    <w:rsid w:val="00514C5C"/>
    <w:rsid w:val="00515953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2B3F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0D59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720"/>
    <w:rsid w:val="00590B21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180"/>
    <w:rsid w:val="005A2498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401E"/>
    <w:rsid w:val="005D436B"/>
    <w:rsid w:val="005D46CB"/>
    <w:rsid w:val="005D4EC6"/>
    <w:rsid w:val="005D6042"/>
    <w:rsid w:val="005D6C21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2E7F"/>
    <w:rsid w:val="005E345D"/>
    <w:rsid w:val="005E3540"/>
    <w:rsid w:val="005E3C1A"/>
    <w:rsid w:val="005E3C93"/>
    <w:rsid w:val="005E3EB8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673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2C6E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578E1"/>
    <w:rsid w:val="0066051A"/>
    <w:rsid w:val="00660D1B"/>
    <w:rsid w:val="00660D84"/>
    <w:rsid w:val="00662356"/>
    <w:rsid w:val="00662649"/>
    <w:rsid w:val="006627ED"/>
    <w:rsid w:val="0066308E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F6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3961"/>
    <w:rsid w:val="00695A87"/>
    <w:rsid w:val="00695B90"/>
    <w:rsid w:val="00695C50"/>
    <w:rsid w:val="00695C70"/>
    <w:rsid w:val="006966F1"/>
    <w:rsid w:val="00697637"/>
    <w:rsid w:val="00697A01"/>
    <w:rsid w:val="00697DD4"/>
    <w:rsid w:val="00697E21"/>
    <w:rsid w:val="006A131C"/>
    <w:rsid w:val="006A23DA"/>
    <w:rsid w:val="006A2432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5E9E"/>
    <w:rsid w:val="006D6190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07E4F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666"/>
    <w:rsid w:val="00792AA8"/>
    <w:rsid w:val="00792FEB"/>
    <w:rsid w:val="0079332A"/>
    <w:rsid w:val="00793383"/>
    <w:rsid w:val="007934A8"/>
    <w:rsid w:val="00793F9F"/>
    <w:rsid w:val="0079516C"/>
    <w:rsid w:val="00795E0D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A42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23F1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310F"/>
    <w:rsid w:val="0089349B"/>
    <w:rsid w:val="008937BD"/>
    <w:rsid w:val="00893D55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2A0"/>
    <w:rsid w:val="008B39F4"/>
    <w:rsid w:val="008B4A9D"/>
    <w:rsid w:val="008B4EDD"/>
    <w:rsid w:val="008B5176"/>
    <w:rsid w:val="008B537E"/>
    <w:rsid w:val="008B6B8C"/>
    <w:rsid w:val="008C078D"/>
    <w:rsid w:val="008C1430"/>
    <w:rsid w:val="008C1A7E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89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7E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5FF6"/>
    <w:rsid w:val="008E645B"/>
    <w:rsid w:val="008E6B0B"/>
    <w:rsid w:val="008E7982"/>
    <w:rsid w:val="008F00D0"/>
    <w:rsid w:val="008F03D6"/>
    <w:rsid w:val="008F10DF"/>
    <w:rsid w:val="008F24B4"/>
    <w:rsid w:val="008F254C"/>
    <w:rsid w:val="008F277A"/>
    <w:rsid w:val="008F27E5"/>
    <w:rsid w:val="008F2848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4BE"/>
    <w:rsid w:val="00935BF2"/>
    <w:rsid w:val="00935F4B"/>
    <w:rsid w:val="00936251"/>
    <w:rsid w:val="00936875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7A"/>
    <w:rsid w:val="009574F4"/>
    <w:rsid w:val="00957797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61E5"/>
    <w:rsid w:val="0099655C"/>
    <w:rsid w:val="009967F0"/>
    <w:rsid w:val="009968EE"/>
    <w:rsid w:val="00996903"/>
    <w:rsid w:val="00997DEC"/>
    <w:rsid w:val="009A0E86"/>
    <w:rsid w:val="009A15FE"/>
    <w:rsid w:val="009A2335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43C7"/>
    <w:rsid w:val="009B5C86"/>
    <w:rsid w:val="009B6B8C"/>
    <w:rsid w:val="009B6BBC"/>
    <w:rsid w:val="009C1566"/>
    <w:rsid w:val="009C1B35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703"/>
    <w:rsid w:val="009D3869"/>
    <w:rsid w:val="009D39B0"/>
    <w:rsid w:val="009D4D19"/>
    <w:rsid w:val="009D755E"/>
    <w:rsid w:val="009D7971"/>
    <w:rsid w:val="009E1AFE"/>
    <w:rsid w:val="009E3D52"/>
    <w:rsid w:val="009E405B"/>
    <w:rsid w:val="009E423B"/>
    <w:rsid w:val="009E4274"/>
    <w:rsid w:val="009E47B4"/>
    <w:rsid w:val="009E6169"/>
    <w:rsid w:val="009E691F"/>
    <w:rsid w:val="009E6BF0"/>
    <w:rsid w:val="009E757F"/>
    <w:rsid w:val="009F05DD"/>
    <w:rsid w:val="009F0658"/>
    <w:rsid w:val="009F078A"/>
    <w:rsid w:val="009F0BA8"/>
    <w:rsid w:val="009F1C56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1309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3C22"/>
    <w:rsid w:val="00AC41D1"/>
    <w:rsid w:val="00AC5800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4BD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737"/>
    <w:rsid w:val="00B43B2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2982"/>
    <w:rsid w:val="00B53622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4366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79C8"/>
    <w:rsid w:val="00BF7EE3"/>
    <w:rsid w:val="00C00228"/>
    <w:rsid w:val="00C0083E"/>
    <w:rsid w:val="00C0086C"/>
    <w:rsid w:val="00C00928"/>
    <w:rsid w:val="00C00E3D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6406"/>
    <w:rsid w:val="00C17779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4A5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3D14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879"/>
    <w:rsid w:val="00D669A0"/>
    <w:rsid w:val="00D671B3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5AE8"/>
    <w:rsid w:val="00D76588"/>
    <w:rsid w:val="00D76A00"/>
    <w:rsid w:val="00D7774D"/>
    <w:rsid w:val="00D77821"/>
    <w:rsid w:val="00D7793E"/>
    <w:rsid w:val="00D77EB2"/>
    <w:rsid w:val="00D8153C"/>
    <w:rsid w:val="00D818CB"/>
    <w:rsid w:val="00D81F51"/>
    <w:rsid w:val="00D82758"/>
    <w:rsid w:val="00D82AA3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90FED"/>
    <w:rsid w:val="00D91BB6"/>
    <w:rsid w:val="00D9297D"/>
    <w:rsid w:val="00D933F9"/>
    <w:rsid w:val="00D93B9E"/>
    <w:rsid w:val="00D94134"/>
    <w:rsid w:val="00D97BEC"/>
    <w:rsid w:val="00DA11B5"/>
    <w:rsid w:val="00DA168C"/>
    <w:rsid w:val="00DA1C3C"/>
    <w:rsid w:val="00DA2448"/>
    <w:rsid w:val="00DA292A"/>
    <w:rsid w:val="00DA2E7E"/>
    <w:rsid w:val="00DA3310"/>
    <w:rsid w:val="00DA49F1"/>
    <w:rsid w:val="00DA56B6"/>
    <w:rsid w:val="00DA5B15"/>
    <w:rsid w:val="00DA634D"/>
    <w:rsid w:val="00DA6D60"/>
    <w:rsid w:val="00DA7ABD"/>
    <w:rsid w:val="00DA7BBE"/>
    <w:rsid w:val="00DA7EAB"/>
    <w:rsid w:val="00DB0009"/>
    <w:rsid w:val="00DB0C4D"/>
    <w:rsid w:val="00DB149B"/>
    <w:rsid w:val="00DB188B"/>
    <w:rsid w:val="00DB1D66"/>
    <w:rsid w:val="00DB2240"/>
    <w:rsid w:val="00DB2419"/>
    <w:rsid w:val="00DB28E7"/>
    <w:rsid w:val="00DB3EB6"/>
    <w:rsid w:val="00DB4100"/>
    <w:rsid w:val="00DB429B"/>
    <w:rsid w:val="00DB4477"/>
    <w:rsid w:val="00DB4F33"/>
    <w:rsid w:val="00DB58FA"/>
    <w:rsid w:val="00DB594B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0807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65C7"/>
    <w:rsid w:val="00DF6B5A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15ED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557F"/>
    <w:rsid w:val="00E75925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4C9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35A8"/>
    <w:rsid w:val="00E9381D"/>
    <w:rsid w:val="00E93B79"/>
    <w:rsid w:val="00E93FC2"/>
    <w:rsid w:val="00E94543"/>
    <w:rsid w:val="00E94DFF"/>
    <w:rsid w:val="00E951EE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2FE3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7C8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1F7E"/>
    <w:rsid w:val="00FA240F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864"/>
    <w:rsid w:val="00FD4DB9"/>
    <w:rsid w:val="00FD54E0"/>
    <w:rsid w:val="00FD5A0D"/>
    <w:rsid w:val="00FD622F"/>
    <w:rsid w:val="00FD6247"/>
    <w:rsid w:val="00FD70C9"/>
    <w:rsid w:val="00FE0C6F"/>
    <w:rsid w:val="00FE0CC8"/>
    <w:rsid w:val="00FE165E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4</cp:revision>
  <cp:lastPrinted>2024-07-25T20:57:00Z</cp:lastPrinted>
  <dcterms:created xsi:type="dcterms:W3CDTF">2025-07-07T14:39:00Z</dcterms:created>
  <dcterms:modified xsi:type="dcterms:W3CDTF">2025-07-08T13:39:00Z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