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B90C" w14:textId="4AC7556F" w:rsidR="002D1CFF" w:rsidRPr="007A594D" w:rsidRDefault="002D1CFF" w:rsidP="002D1CFF">
      <w:pPr>
        <w:pStyle w:val="Sinespaciado"/>
        <w:jc w:val="both"/>
        <w:rPr>
          <w:rFonts w:ascii="Calibri" w:eastAsia="Aptos" w:hAnsi="Calibri" w:cs="Calibri"/>
          <w:kern w:val="2"/>
          <w:sz w:val="36"/>
          <w:szCs w:val="36"/>
          <w:lang w:val="es-ES"/>
          <w14:ligatures w14:val="standardContextual"/>
        </w:rPr>
      </w:pPr>
      <w:r>
        <w:rPr>
          <w:rFonts w:ascii="Calibri" w:eastAsia="Aptos" w:hAnsi="Calibri" w:cs="Calibri"/>
          <w:kern w:val="2"/>
          <w:sz w:val="36"/>
          <w:szCs w:val="36"/>
          <w:lang w:val="es-ES"/>
          <w14:ligatures w14:val="standardContextual"/>
        </w:rPr>
        <w:t xml:space="preserve">El 85 </w:t>
      </w:r>
      <w:r w:rsidR="001A13A4">
        <w:rPr>
          <w:rFonts w:ascii="Calibri" w:eastAsia="Aptos" w:hAnsi="Calibri" w:cs="Calibri"/>
          <w:kern w:val="2"/>
          <w:sz w:val="36"/>
          <w:szCs w:val="36"/>
          <w:lang w:val="es-ES"/>
          <w14:ligatures w14:val="standardContextual"/>
        </w:rPr>
        <w:t xml:space="preserve">% </w:t>
      </w:r>
      <w:r>
        <w:rPr>
          <w:rFonts w:ascii="Calibri" w:eastAsia="Aptos" w:hAnsi="Calibri" w:cs="Calibri"/>
          <w:kern w:val="2"/>
          <w:sz w:val="36"/>
          <w:szCs w:val="36"/>
          <w:lang w:val="es-ES"/>
          <w14:ligatures w14:val="standardContextual"/>
        </w:rPr>
        <w:t xml:space="preserve">de los financiamientos otorgados a mipymes lideradas por mujeres está al día con </w:t>
      </w:r>
      <w:r w:rsidR="001A13A4">
        <w:rPr>
          <w:rFonts w:ascii="Calibri" w:eastAsia="Aptos" w:hAnsi="Calibri" w:cs="Calibri"/>
          <w:kern w:val="2"/>
          <w:sz w:val="36"/>
          <w:szCs w:val="36"/>
          <w:lang w:val="es-ES"/>
          <w14:ligatures w14:val="standardContextual"/>
        </w:rPr>
        <w:t>sus obligaciones</w:t>
      </w:r>
    </w:p>
    <w:p w14:paraId="405AFAD1" w14:textId="6AB6C3EC" w:rsidR="000F5AD1" w:rsidRPr="000F5AD1" w:rsidRDefault="000F5AD1" w:rsidP="002D1CFF">
      <w:pPr>
        <w:pStyle w:val="Sinespaciado"/>
        <w:jc w:val="both"/>
        <w:rPr>
          <w:rFonts w:ascii="Calibri" w:eastAsia="Aptos" w:hAnsi="Calibri" w:cs="Calibri"/>
          <w:i/>
          <w:iCs/>
          <w:kern w:val="2"/>
          <w:sz w:val="24"/>
          <w:szCs w:val="24"/>
          <w:lang w:val="es-DO"/>
          <w14:ligatures w14:val="standardContextual"/>
        </w:rPr>
      </w:pPr>
      <w:r w:rsidRPr="00A43E5B">
        <w:rPr>
          <w:rFonts w:ascii="Calibri" w:eastAsia="Aptos" w:hAnsi="Calibri" w:cs="Calibri"/>
          <w:i/>
          <w:iCs/>
          <w:kern w:val="2"/>
          <w:sz w:val="24"/>
          <w:szCs w:val="24"/>
          <w:lang w:val="es-DO"/>
          <w14:ligatures w14:val="standardContextual"/>
        </w:rPr>
        <w:t>El dato forma parte de los hallazgos recopilados por la Asociación de Bancos Múltiples (ABA) a través del Dashboard de la iniciativa We Finance Code, una herramienta desarrollada para generar información basada en evidencia y contribuir a la reducción de la brecha de financiamiento que enfrentan las mujeres empresarias.</w:t>
      </w:r>
    </w:p>
    <w:p w14:paraId="36C0DDC6" w14:textId="77777777" w:rsidR="002D1CFF" w:rsidRPr="00AD67A6" w:rsidRDefault="002D1CFF" w:rsidP="002D1CFF">
      <w:pPr>
        <w:pStyle w:val="Sinespaciado"/>
        <w:jc w:val="both"/>
        <w:rPr>
          <w:rFonts w:ascii="Calibri" w:eastAsia="Aptos" w:hAnsi="Calibri" w:cs="Calibri"/>
          <w:i/>
          <w:iCs/>
          <w:kern w:val="2"/>
          <w:sz w:val="24"/>
          <w:szCs w:val="24"/>
          <w:lang w:val="es-DO"/>
          <w14:ligatures w14:val="standardContextual"/>
        </w:rPr>
      </w:pPr>
    </w:p>
    <w:p w14:paraId="2008B7B1" w14:textId="5697C1F4" w:rsidR="002D1CFF" w:rsidRDefault="002D1CFF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  <w:r w:rsidRPr="00AD67A6">
        <w:rPr>
          <w:rFonts w:ascii="Calibri" w:eastAsia="Aptos" w:hAnsi="Calibri" w:cs="Calibri"/>
          <w:b/>
          <w:bCs/>
          <w:kern w:val="2"/>
          <w:sz w:val="24"/>
          <w:szCs w:val="24"/>
          <w:lang w:val="es-ES"/>
          <w14:ligatures w14:val="standardContextual"/>
        </w:rPr>
        <w:t>Santo Domingo. Rep. Dom.-</w:t>
      </w:r>
      <w:r w:rsidRPr="00AD67A6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</w:t>
      </w:r>
      <w:r w:rsidR="001A13A4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La Asociación de Bancos Múltiples de la República Dominicana (ABA) </w:t>
      </w:r>
      <w:r w:rsidR="00610676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destacó</w:t>
      </w:r>
      <w:r w:rsidR="001A13A4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el desempeño crediticio favorable que exhiben las micro, pequeñas y mediana</w:t>
      </w:r>
      <w:r w:rsidR="002B3C45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s</w:t>
      </w:r>
      <w:r w:rsidR="001A13A4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empresas lideradas por mujeres, </w:t>
      </w:r>
      <w:r w:rsidR="000F5AD1" w:rsidRPr="00A43E5B">
        <w:rPr>
          <w:rFonts w:ascii="Calibri" w:eastAsia="Aptos" w:hAnsi="Calibri" w:cs="Calibri"/>
          <w:kern w:val="2"/>
          <w:sz w:val="24"/>
          <w:szCs w:val="24"/>
          <w:lang w:val="es-DO"/>
          <w14:ligatures w14:val="standardContextual"/>
        </w:rPr>
        <w:t>al registrar que el 85 % de sus financiamientos se mantiene al día con sus obligaciones, lo que evidencia una cartera sólida y constituye un indicativo de responsabilidad y sostenibilidad financiera, de acuerdo con los hallazgos de la iniciativa WE Finance Code que coordina el gremio bancario.</w:t>
      </w:r>
    </w:p>
    <w:p w14:paraId="34AE8B91" w14:textId="77777777" w:rsidR="00954AB9" w:rsidRDefault="00954AB9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</w:p>
    <w:p w14:paraId="097BD513" w14:textId="6040C4B2" w:rsidR="002D1CFF" w:rsidRDefault="00954AB9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Las informaciones fueron recopiladas mediante </w:t>
      </w:r>
      <w:r w:rsidR="000F5AD1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el </w:t>
      </w:r>
      <w:r w:rsidR="00AF50B3" w:rsidRPr="00AF50B3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WE Finance Dashboard</w:t>
      </w:r>
      <w:r w:rsidR="00AF50B3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,</w:t>
      </w:r>
      <w:r w:rsidR="00AF50B3" w:rsidRPr="00AF50B3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</w:t>
      </w:r>
      <w:r w:rsidR="000F5AD1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una herramienta 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desarrollada</w:t>
      </w:r>
      <w:r w:rsidRPr="00AD67A6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con el acompañamiento</w:t>
      </w:r>
      <w:r w:rsidRPr="001519F5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técnic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o y metodológico de </w:t>
      </w:r>
      <w:r w:rsidRPr="001519F5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BID Invest y BID Lab</w:t>
      </w:r>
      <w:r w:rsidR="00E032F7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,</w:t>
      </w:r>
      <w:r w:rsidR="008075EC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que tiene por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finalidad</w:t>
      </w:r>
      <w:r w:rsidRPr="00906D3E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aportar informaciones que generen soluciones </w:t>
      </w:r>
      <w:r w:rsidR="002B0D29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para disminuir</w:t>
      </w:r>
      <w:r w:rsidRPr="00906D3E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la brecha de</w:t>
      </w:r>
      <w:r w:rsidRPr="00906D3E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financiamiento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a las</w:t>
      </w:r>
      <w:r w:rsidRPr="00906D3E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mujeres empresarias.</w:t>
      </w: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 </w:t>
      </w:r>
    </w:p>
    <w:p w14:paraId="764AE3CF" w14:textId="77777777" w:rsidR="00954AB9" w:rsidRDefault="00954AB9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</w:p>
    <w:p w14:paraId="6EA9F039" w14:textId="527447C6" w:rsidR="002D1CFF" w:rsidRDefault="00BF19DA" w:rsidP="002D1CFF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Como parte de los resultados del Dashboard</w:t>
      </w:r>
      <w:r w:rsidR="002D1CFF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196585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se 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>resalta, también,</w:t>
      </w:r>
      <w:r w:rsidR="008651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el </w:t>
      </w:r>
      <w:r w:rsidR="002D1CFF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sólido </w:t>
      </w:r>
      <w:r w:rsidR="008651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comportamiento </w:t>
      </w:r>
      <w:r w:rsidR="00DA3D42">
        <w:rPr>
          <w:rFonts w:ascii="Calibri" w:eastAsia="Times New Roman" w:hAnsi="Calibri" w:cs="Calibri"/>
          <w:sz w:val="24"/>
          <w:szCs w:val="24"/>
          <w:lang w:val="es-DO" w:eastAsia="es-MX"/>
        </w:rPr>
        <w:t>de las</w:t>
      </w:r>
      <w:r w:rsidR="002D1CFF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empresas de liderazgo mixto que registran un 93% de cartera vigente</w:t>
      </w:r>
      <w:r w:rsidR="008E7D59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y</w:t>
      </w:r>
      <w:r w:rsidR="002D1CFF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avances en</w:t>
      </w:r>
      <w:r w:rsidR="008E7D59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la</w:t>
      </w:r>
      <w:r w:rsidR="002D1CFF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inclusión territorial, con una participación de mujeres rurales del 22</w:t>
      </w:r>
      <w:r w:rsidR="00772160">
        <w:rPr>
          <w:rFonts w:ascii="Calibri" w:eastAsia="Times New Roman" w:hAnsi="Calibri" w:cs="Calibri"/>
          <w:sz w:val="24"/>
          <w:szCs w:val="24"/>
          <w:lang w:val="es-DO" w:eastAsia="es-MX"/>
        </w:rPr>
        <w:t>%</w:t>
      </w:r>
      <w:r w:rsidR="002420F9">
        <w:rPr>
          <w:rFonts w:ascii="Calibri" w:eastAsia="Times New Roman" w:hAnsi="Calibri" w:cs="Calibri"/>
          <w:sz w:val="24"/>
          <w:szCs w:val="24"/>
          <w:lang w:val="es-DO" w:eastAsia="es-MX"/>
        </w:rPr>
        <w:t>.</w:t>
      </w:r>
    </w:p>
    <w:p w14:paraId="34C03A89" w14:textId="77777777" w:rsidR="002458D1" w:rsidRDefault="002458D1" w:rsidP="002D1CFF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024828F1" w14:textId="6A30479E" w:rsidR="002458D1" w:rsidRDefault="002458D1" w:rsidP="002D1CFF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Sin embargo, </w:t>
      </w:r>
      <w:r w:rsidR="00AB768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la ABA </w:t>
      </w:r>
      <w:r w:rsidR="00383F0E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expuso 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que </w:t>
      </w:r>
      <w:r w:rsidR="00AF50B3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existen </w:t>
      </w:r>
      <w:r w:rsidR="00EC45B9" w:rsidRPr="00EC45B9">
        <w:rPr>
          <w:rFonts w:ascii="Calibri" w:eastAsia="Times New Roman" w:hAnsi="Calibri" w:cs="Calibri"/>
          <w:sz w:val="24"/>
          <w:szCs w:val="24"/>
          <w:lang w:val="es-DO" w:eastAsia="es-MX"/>
        </w:rPr>
        <w:t>desafíos estructurales relevantes, como un nivel de informalidad que alcanza el 72.8%, lo que limita el acceso a financiamiento de mayor escala y plazo</w:t>
      </w:r>
      <w:r w:rsidR="00EC45B9">
        <w:rPr>
          <w:rFonts w:ascii="Calibri" w:eastAsia="Times New Roman" w:hAnsi="Calibri" w:cs="Calibri"/>
          <w:sz w:val="24"/>
          <w:szCs w:val="24"/>
          <w:lang w:val="es-DO" w:eastAsia="es-MX"/>
        </w:rPr>
        <w:t>.</w:t>
      </w:r>
      <w:r w:rsidR="00A276AC">
        <w:rPr>
          <w:lang w:val="es-DO"/>
        </w:rPr>
        <w:t xml:space="preserve"> </w:t>
      </w:r>
      <w:r w:rsidR="007F05D1">
        <w:rPr>
          <w:lang w:val="es-DO"/>
        </w:rPr>
        <w:t>Otro reto</w:t>
      </w:r>
      <w:r w:rsidR="00E14EB9">
        <w:rPr>
          <w:lang w:val="es-DO"/>
        </w:rPr>
        <w:t>, indicó,</w:t>
      </w:r>
      <w:r w:rsidR="007F05D1">
        <w:rPr>
          <w:lang w:val="es-DO"/>
        </w:rPr>
        <w:t xml:space="preserve"> es</w:t>
      </w:r>
      <w:r w:rsidR="00B4614E">
        <w:rPr>
          <w:lang w:val="es-DO"/>
        </w:rPr>
        <w:t xml:space="preserve"> la </w:t>
      </w:r>
      <w:r w:rsidR="00B4614E">
        <w:rPr>
          <w:rFonts w:ascii="Calibri" w:eastAsia="Times New Roman" w:hAnsi="Calibri" w:cs="Calibri"/>
          <w:sz w:val="24"/>
          <w:szCs w:val="24"/>
          <w:lang w:val="es-DO" w:eastAsia="es-MX"/>
        </w:rPr>
        <w:t>b</w:t>
      </w:r>
      <w:r w:rsidR="00A276AC" w:rsidRPr="00A276A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recha de género en montos de crédito, con financiamientos a </w:t>
      </w:r>
      <w:r w:rsidR="00AB7682">
        <w:rPr>
          <w:rFonts w:ascii="Calibri" w:eastAsia="Times New Roman" w:hAnsi="Calibri" w:cs="Calibri"/>
          <w:sz w:val="24"/>
          <w:szCs w:val="24"/>
          <w:lang w:val="es-DO" w:eastAsia="es-MX"/>
        </w:rPr>
        <w:t>mipymes</w:t>
      </w:r>
      <w:r w:rsidR="00A276AC" w:rsidRPr="00A276A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lideradas por mujeres 38% menores que los otorgados a </w:t>
      </w:r>
      <w:r w:rsidR="00AB7682">
        <w:rPr>
          <w:rFonts w:ascii="Calibri" w:eastAsia="Times New Roman" w:hAnsi="Calibri" w:cs="Calibri"/>
          <w:sz w:val="24"/>
          <w:szCs w:val="24"/>
          <w:lang w:val="es-DO" w:eastAsia="es-MX"/>
        </w:rPr>
        <w:t>las</w:t>
      </w:r>
      <w:r w:rsidR="00A276AC" w:rsidRPr="00A276A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lideradas por hombres</w:t>
      </w:r>
      <w:r w:rsidR="00E04E31">
        <w:rPr>
          <w:rFonts w:ascii="Calibri" w:eastAsia="Times New Roman" w:hAnsi="Calibri" w:cs="Calibri"/>
          <w:sz w:val="24"/>
          <w:szCs w:val="24"/>
          <w:lang w:val="es-DO" w:eastAsia="es-MX"/>
        </w:rPr>
        <w:t>.</w:t>
      </w:r>
    </w:p>
    <w:p w14:paraId="55C8EBCC" w14:textId="77777777" w:rsidR="007F05D1" w:rsidRDefault="007F05D1" w:rsidP="002D1CFF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02DD8964" w14:textId="0C2AF927" w:rsidR="002535C3" w:rsidRDefault="002535C3" w:rsidP="002D1CFF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t>“</w:t>
      </w:r>
      <w:r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La información recopilada a través del WE Finance Dashboard durante 2025 muestra que la brecha de género en el financiamiento </w:t>
      </w:r>
      <w:r w:rsidR="000F5AD1">
        <w:rPr>
          <w:rFonts w:ascii="Calibri" w:eastAsia="Times New Roman" w:hAnsi="Calibri" w:cs="Calibri"/>
          <w:sz w:val="24"/>
          <w:szCs w:val="24"/>
          <w:lang w:val="es-DO" w:eastAsia="es-MX"/>
        </w:rPr>
        <w:t>M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>ipyme</w:t>
      </w:r>
      <w:r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en la República Dominicana no se explica por el acceso al crédito, sino por diferencias estructurales en la escala del financiamiento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>”, consideró la ABA</w:t>
      </w:r>
      <w:r w:rsidR="00772160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en un documento de prensa.</w:t>
      </w:r>
    </w:p>
    <w:p w14:paraId="0F4D594C" w14:textId="77777777" w:rsidR="00211F3D" w:rsidRDefault="00211F3D" w:rsidP="002D1CFF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02A9869C" w14:textId="7D5EE96A" w:rsidR="0005718F" w:rsidRDefault="005444E3" w:rsidP="00211F3D">
      <w:pPr>
        <w:pStyle w:val="Sinespaciado"/>
        <w:jc w:val="both"/>
        <w:textDirection w:val="btLr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t>La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E14EB9">
        <w:rPr>
          <w:rFonts w:ascii="Calibri" w:eastAsia="Times New Roman" w:hAnsi="Calibri" w:cs="Calibri"/>
          <w:sz w:val="24"/>
          <w:szCs w:val="24"/>
          <w:lang w:val="es-DO" w:eastAsia="es-MX"/>
        </w:rPr>
        <w:t>entidad que re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>ú</w:t>
      </w:r>
      <w:r w:rsidR="00E14EB9">
        <w:rPr>
          <w:rFonts w:ascii="Calibri" w:eastAsia="Times New Roman" w:hAnsi="Calibri" w:cs="Calibri"/>
          <w:sz w:val="24"/>
          <w:szCs w:val="24"/>
          <w:lang w:val="es-DO" w:eastAsia="es-MX"/>
        </w:rPr>
        <w:t>ne a los bancos múltiples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valoró</w:t>
      </w:r>
      <w:r w:rsidR="00211F3D" w:rsidRPr="00211F3D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que estos</w:t>
      </w:r>
      <w:r w:rsidR="009460C7" w:rsidRPr="00211F3D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>resultados</w:t>
      </w:r>
      <w:r w:rsidR="004F56C3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son</w:t>
      </w:r>
      <w:r w:rsidR="0005718F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producto de informaciones </w:t>
      </w:r>
      <w:r w:rsidR="0005718F">
        <w:rPr>
          <w:rFonts w:ascii="Calibri" w:eastAsia="Times New Roman" w:hAnsi="Calibri" w:cs="Calibri"/>
          <w:sz w:val="24"/>
          <w:szCs w:val="24"/>
          <w:lang w:val="es-DO" w:eastAsia="es-MX"/>
        </w:rPr>
        <w:t>captad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>a</w:t>
      </w:r>
      <w:r w:rsidR="0005718F">
        <w:rPr>
          <w:rFonts w:ascii="Calibri" w:eastAsia="Times New Roman" w:hAnsi="Calibri" w:cs="Calibri"/>
          <w:sz w:val="24"/>
          <w:szCs w:val="24"/>
          <w:lang w:val="es-DO" w:eastAsia="es-MX"/>
        </w:rPr>
        <w:t>s en tiempo real y asentad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>a</w:t>
      </w:r>
      <w:r w:rsidR="0005718F">
        <w:rPr>
          <w:rFonts w:ascii="Calibri" w:eastAsia="Times New Roman" w:hAnsi="Calibri" w:cs="Calibri"/>
          <w:sz w:val="24"/>
          <w:szCs w:val="24"/>
          <w:lang w:val="es-DO" w:eastAsia="es-MX"/>
        </w:rPr>
        <w:t>s por primera vez en una base de datos común,</w:t>
      </w:r>
      <w:r w:rsidR="009460C7" w:rsidRPr="00211F3D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4F56C3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y </w:t>
      </w:r>
      <w:r w:rsidR="009460C7" w:rsidRPr="00211F3D">
        <w:rPr>
          <w:rFonts w:ascii="Calibri" w:eastAsia="Times New Roman" w:hAnsi="Calibri" w:cs="Calibri"/>
          <w:sz w:val="24"/>
          <w:szCs w:val="24"/>
          <w:lang w:val="es-DO" w:eastAsia="es-MX"/>
        </w:rPr>
        <w:t>permiten pasar de una discusión basada en percepciones a una agenda de política pública y financiera sustentada en evidencia</w:t>
      </w:r>
      <w:r w:rsidR="00211F3D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. </w:t>
      </w:r>
    </w:p>
    <w:p w14:paraId="0BF174B0" w14:textId="77777777" w:rsidR="0005718F" w:rsidRDefault="0005718F" w:rsidP="00211F3D">
      <w:pPr>
        <w:pStyle w:val="Sinespaciado"/>
        <w:jc w:val="both"/>
        <w:textDirection w:val="btLr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6FD0ECB1" w14:textId="4301EED0" w:rsidR="007F05D1" w:rsidRPr="002535C3" w:rsidRDefault="00C71BF8" w:rsidP="00211F3D">
      <w:pPr>
        <w:pStyle w:val="Sinespaciado"/>
        <w:jc w:val="both"/>
        <w:textDirection w:val="btLr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lastRenderedPageBreak/>
        <w:t>En ese orden, informó que</w:t>
      </w:r>
      <w:r w:rsidR="00211F3D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durante </w:t>
      </w:r>
      <w:r w:rsidR="0005718F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el año pasado </w:t>
      </w:r>
      <w:r w:rsidR="00211F3D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las </w:t>
      </w:r>
      <w:r w:rsidR="00025569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entidades financieras comenzaron a utilizar </w:t>
      </w:r>
      <w:r w:rsidR="00610676">
        <w:rPr>
          <w:rFonts w:ascii="Calibri" w:eastAsia="Times New Roman" w:hAnsi="Calibri" w:cs="Calibri"/>
          <w:sz w:val="24"/>
          <w:szCs w:val="24"/>
          <w:lang w:val="es-DO" w:eastAsia="es-MX"/>
        </w:rPr>
        <w:t>estos resultados</w:t>
      </w:r>
      <w:r w:rsidR="00025569" w:rsidRPr="004B34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para desarrollar modelos de evaluación crediticia adaptados a contextos de informalidad, fortalecer programas de educación financiera y digital, incorporar servicios de acompañamiento empresarial e innovar en el diseño de productos financieros con enfoque inclusivo.</w:t>
      </w:r>
    </w:p>
    <w:p w14:paraId="4C1E1C46" w14:textId="77777777" w:rsidR="00C85336" w:rsidRDefault="00C85336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</w:p>
    <w:p w14:paraId="49F734D1" w14:textId="3FAF089A" w:rsidR="00C85336" w:rsidRPr="00C85336" w:rsidRDefault="00C85336" w:rsidP="002D1CFF">
      <w:pPr>
        <w:pStyle w:val="Sinespaciad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:lang w:val="es-ES"/>
          <w14:ligatures w14:val="standardContextual"/>
        </w:rPr>
      </w:pPr>
      <w:r w:rsidRPr="00C85336">
        <w:rPr>
          <w:rFonts w:ascii="Calibri" w:eastAsia="Aptos" w:hAnsi="Calibri" w:cs="Calibri"/>
          <w:b/>
          <w:bCs/>
          <w:kern w:val="2"/>
          <w:sz w:val="24"/>
          <w:szCs w:val="24"/>
          <w:lang w:val="es-ES"/>
          <w14:ligatures w14:val="standardContextual"/>
        </w:rPr>
        <w:t>Dirección de Comunicación y Marketing</w:t>
      </w:r>
    </w:p>
    <w:p w14:paraId="7AAA94FE" w14:textId="12ED4E4E" w:rsidR="00C85336" w:rsidRDefault="00A0683A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  <w:r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 xml:space="preserve">15 </w:t>
      </w:r>
      <w:r w:rsidR="00C85336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de enero de 202</w:t>
      </w:r>
      <w:r w:rsidR="000F28E9"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  <w:t>6</w:t>
      </w:r>
    </w:p>
    <w:p w14:paraId="4E56519A" w14:textId="77777777" w:rsidR="002D1CFF" w:rsidRDefault="002D1CFF" w:rsidP="002D1CFF">
      <w:pPr>
        <w:pStyle w:val="Sinespaciado"/>
        <w:jc w:val="both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</w:p>
    <w:p w14:paraId="71AB0398" w14:textId="77777777" w:rsidR="00C3757B" w:rsidRPr="00C85336" w:rsidRDefault="00C3757B" w:rsidP="00C85336">
      <w:pPr>
        <w:pStyle w:val="Sinespaciado"/>
        <w:jc w:val="both"/>
        <w:textDirection w:val="btLr"/>
        <w:rPr>
          <w:rFonts w:ascii="Calibri" w:eastAsia="Aptos" w:hAnsi="Calibri" w:cs="Calibri"/>
          <w:kern w:val="2"/>
          <w:sz w:val="24"/>
          <w:szCs w:val="24"/>
          <w:lang w:val="es-ES"/>
          <w14:ligatures w14:val="standardContextual"/>
        </w:rPr>
      </w:pPr>
    </w:p>
    <w:sectPr w:rsidR="00C3757B" w:rsidRPr="00C85336" w:rsidSect="002D1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33DF" w14:textId="77777777" w:rsidR="00880BE9" w:rsidRDefault="00880BE9">
      <w:pPr>
        <w:spacing w:line="240" w:lineRule="auto"/>
        <w:ind w:left="0" w:hanging="2"/>
      </w:pPr>
      <w:r>
        <w:separator/>
      </w:r>
    </w:p>
  </w:endnote>
  <w:endnote w:type="continuationSeparator" w:id="0">
    <w:p w14:paraId="1C44656C" w14:textId="77777777" w:rsidR="00880BE9" w:rsidRDefault="00880B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32D4" w14:textId="77777777" w:rsidR="002D1CFF" w:rsidRDefault="002D1CF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672A" w14:textId="77777777" w:rsidR="002D1CFF" w:rsidRDefault="002D1CF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CD4" w14:textId="77777777" w:rsidR="002D1CFF" w:rsidRDefault="002D1CFF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5825898C" w14:textId="77777777" w:rsidR="002D1CFF" w:rsidRDefault="002D1CFF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331A9E92" w14:textId="77777777" w:rsidR="002D1CFF" w:rsidRDefault="002D1CFF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1F42114C" w14:textId="77777777" w:rsidR="002D1CFF" w:rsidRPr="003C2C89" w:rsidRDefault="002D1CFF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449E444F" w14:textId="77777777" w:rsidR="002D1CFF" w:rsidRPr="003C2C89" w:rsidRDefault="002D1CFF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06AF7148" w14:textId="77777777" w:rsidR="002D1CFF" w:rsidRPr="00E06353" w:rsidRDefault="002D1CFF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B685" w14:textId="77777777" w:rsidR="00880BE9" w:rsidRDefault="00880BE9">
      <w:pPr>
        <w:spacing w:line="240" w:lineRule="auto"/>
        <w:ind w:left="0" w:hanging="2"/>
      </w:pPr>
      <w:r>
        <w:separator/>
      </w:r>
    </w:p>
  </w:footnote>
  <w:footnote w:type="continuationSeparator" w:id="0">
    <w:p w14:paraId="4D704C8F" w14:textId="77777777" w:rsidR="00880BE9" w:rsidRDefault="00880B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DA70" w14:textId="77777777" w:rsidR="002D1CFF" w:rsidRDefault="002D1CF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AB27" w14:textId="77777777" w:rsidR="002D1CFF" w:rsidRDefault="002D1CF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9429" w14:textId="77777777" w:rsidR="002D1CFF" w:rsidRDefault="002D1CFF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D1CFF" w:rsidRPr="00462D40" w14:paraId="1C15FAAE" w14:textId="77777777">
      <w:tc>
        <w:tcPr>
          <w:tcW w:w="10768" w:type="dxa"/>
        </w:tcPr>
        <w:p w14:paraId="31698EA9" w14:textId="77777777" w:rsidR="002D1CFF" w:rsidRDefault="002D1C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D1CFF" w:rsidRPr="00462D40" w14:paraId="1104FF2C" w14:textId="77777777">
            <w:trPr>
              <w:trHeight w:val="1759"/>
            </w:trPr>
            <w:tc>
              <w:tcPr>
                <w:tcW w:w="5308" w:type="dxa"/>
              </w:tcPr>
              <w:p w14:paraId="3992B1DA" w14:textId="77777777" w:rsidR="002D1CFF" w:rsidRPr="003C2C89" w:rsidRDefault="002D1CFF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4BBDC479" w14:textId="77777777" w:rsidR="002D1CFF" w:rsidRPr="003C2C89" w:rsidRDefault="002D1CF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4A272C59" w14:textId="77777777" w:rsidR="002D1CFF" w:rsidRPr="003C2C89" w:rsidRDefault="002D1CF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5BDD3CBB" w14:textId="77777777" w:rsidR="002D1CFF" w:rsidRPr="003C2C89" w:rsidRDefault="002D1CF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, gerente 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 y RRPP</w:t>
                </w:r>
              </w:p>
              <w:p w14:paraId="516FA913" w14:textId="77777777" w:rsidR="002D1CFF" w:rsidRPr="003C2C89" w:rsidRDefault="002D1CFF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3B62142" w14:textId="77777777" w:rsidR="002D1CFF" w:rsidRPr="003C2C89" w:rsidRDefault="002D1CFF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D26B545" w14:textId="77777777" w:rsidR="002D1CFF" w:rsidRPr="003C2C89" w:rsidRDefault="002D1CFF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hidden="0" allowOverlap="1" wp14:anchorId="22FA8B3A" wp14:editId="00BC033F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7BDEC11" w14:textId="77777777" w:rsidR="002D1CFF" w:rsidRPr="003C2C89" w:rsidRDefault="002D1CFF">
          <w:pPr>
            <w:ind w:left="0" w:right="-3276" w:hanging="2"/>
            <w:rPr>
              <w:lang w:val="es-DO"/>
            </w:rPr>
          </w:pPr>
        </w:p>
      </w:tc>
    </w:tr>
  </w:tbl>
  <w:p w14:paraId="123EA906" w14:textId="77777777" w:rsidR="002D1CFF" w:rsidRPr="003C2C89" w:rsidRDefault="002D1CFF">
    <w:pPr>
      <w:ind w:left="0" w:hanging="2"/>
      <w:rPr>
        <w:lang w:val="es-D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F"/>
    <w:rsid w:val="00025569"/>
    <w:rsid w:val="0005718F"/>
    <w:rsid w:val="00097693"/>
    <w:rsid w:val="000B6B48"/>
    <w:rsid w:val="000F28E9"/>
    <w:rsid w:val="000F5AD1"/>
    <w:rsid w:val="0011403E"/>
    <w:rsid w:val="00172BB9"/>
    <w:rsid w:val="00177E23"/>
    <w:rsid w:val="00196585"/>
    <w:rsid w:val="001A13A4"/>
    <w:rsid w:val="00211F3D"/>
    <w:rsid w:val="00224407"/>
    <w:rsid w:val="002420F9"/>
    <w:rsid w:val="002458D1"/>
    <w:rsid w:val="00247472"/>
    <w:rsid w:val="002535C3"/>
    <w:rsid w:val="00283669"/>
    <w:rsid w:val="002B0D29"/>
    <w:rsid w:val="002B3C45"/>
    <w:rsid w:val="002D1CFF"/>
    <w:rsid w:val="00383F0E"/>
    <w:rsid w:val="003C25C5"/>
    <w:rsid w:val="003D3C2B"/>
    <w:rsid w:val="00461943"/>
    <w:rsid w:val="00475DBD"/>
    <w:rsid w:val="004B23C6"/>
    <w:rsid w:val="004F56C3"/>
    <w:rsid w:val="005444E3"/>
    <w:rsid w:val="0058748A"/>
    <w:rsid w:val="00596409"/>
    <w:rsid w:val="005D6424"/>
    <w:rsid w:val="00610676"/>
    <w:rsid w:val="00622443"/>
    <w:rsid w:val="00674738"/>
    <w:rsid w:val="006A4AE5"/>
    <w:rsid w:val="006F22E8"/>
    <w:rsid w:val="006F6F8C"/>
    <w:rsid w:val="00727F08"/>
    <w:rsid w:val="0075648F"/>
    <w:rsid w:val="00772160"/>
    <w:rsid w:val="00786B9F"/>
    <w:rsid w:val="007A02E6"/>
    <w:rsid w:val="007F05D1"/>
    <w:rsid w:val="008075EC"/>
    <w:rsid w:val="00865122"/>
    <w:rsid w:val="00880BE9"/>
    <w:rsid w:val="008B6058"/>
    <w:rsid w:val="008E7D59"/>
    <w:rsid w:val="009460C7"/>
    <w:rsid w:val="00951144"/>
    <w:rsid w:val="00954AB9"/>
    <w:rsid w:val="009C7959"/>
    <w:rsid w:val="00A0683A"/>
    <w:rsid w:val="00A276AC"/>
    <w:rsid w:val="00A43E5B"/>
    <w:rsid w:val="00AB7682"/>
    <w:rsid w:val="00AF50B3"/>
    <w:rsid w:val="00B459A0"/>
    <w:rsid w:val="00B4614E"/>
    <w:rsid w:val="00BB187D"/>
    <w:rsid w:val="00BD4771"/>
    <w:rsid w:val="00BD659D"/>
    <w:rsid w:val="00BF19DA"/>
    <w:rsid w:val="00C3757B"/>
    <w:rsid w:val="00C71BF8"/>
    <w:rsid w:val="00C85336"/>
    <w:rsid w:val="00D55BB3"/>
    <w:rsid w:val="00DA3D42"/>
    <w:rsid w:val="00DB015F"/>
    <w:rsid w:val="00DF3CCE"/>
    <w:rsid w:val="00E032F7"/>
    <w:rsid w:val="00E04E31"/>
    <w:rsid w:val="00E14EB9"/>
    <w:rsid w:val="00E63252"/>
    <w:rsid w:val="00EC45B9"/>
    <w:rsid w:val="00F641B9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284C"/>
  <w15:chartTrackingRefBased/>
  <w15:docId w15:val="{0F9976E7-111A-DB4E-8AD2-107E94DC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eastAsia="Meiryo" w:hAnsi="Century Gothic" w:cs="Century Gothic"/>
      <w:kern w:val="0"/>
      <w:position w:val="-1"/>
      <w:sz w:val="18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1CFF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C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C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CFF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CFF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CFF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CFF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CFF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CFF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CFF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2D1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CF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CFF"/>
    <w:pPr>
      <w:numPr>
        <w:ilvl w:val="1"/>
      </w:numPr>
      <w:spacing w:after="160"/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1CFF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2D1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1CFF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2D1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1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CFF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2D1CF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D1CFF"/>
    <w:rPr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rsid w:val="002D1CFF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2D1CFF"/>
    <w:rPr>
      <w:rFonts w:ascii="Century Gothic" w:eastAsia="Meiryo" w:hAnsi="Century Gothic" w:cs="Century Gothic"/>
      <w:color w:val="A4A4A4"/>
      <w:kern w:val="0"/>
      <w:position w:val="-1"/>
      <w:sz w:val="16"/>
      <w:szCs w:val="16"/>
      <w:lang w:val="en-US"/>
      <w14:ligatures w14:val="none"/>
    </w:rPr>
  </w:style>
  <w:style w:type="paragraph" w:styleId="Encabezado">
    <w:name w:val="header"/>
    <w:basedOn w:val="Normal"/>
    <w:link w:val="EncabezadoCar"/>
    <w:qFormat/>
    <w:rsid w:val="002D1C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1CFF"/>
    <w:rPr>
      <w:rFonts w:ascii="Century Gothic" w:eastAsia="Meiryo" w:hAnsi="Century Gothic" w:cs="Century Gothic"/>
      <w:kern w:val="0"/>
      <w:position w:val="-1"/>
      <w:sz w:val="18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qFormat/>
    <w:rsid w:val="002D1C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0F5AD1"/>
    <w:rPr>
      <w:rFonts w:ascii="Century Gothic" w:eastAsia="Meiryo" w:hAnsi="Century Gothic" w:cs="Century Gothic"/>
      <w:kern w:val="0"/>
      <w:position w:val="-1"/>
      <w:sz w:val="18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Flete</dc:creator>
  <cp:keywords/>
  <dc:description/>
  <cp:lastModifiedBy>Isael Valdez</cp:lastModifiedBy>
  <cp:revision>8</cp:revision>
  <dcterms:created xsi:type="dcterms:W3CDTF">2026-01-15T15:27:00Z</dcterms:created>
  <dcterms:modified xsi:type="dcterms:W3CDTF">2026-01-15T19:07:00Z</dcterms:modified>
</cp:coreProperties>
</file>